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51A6" w:rsidRPr="00BB3653" w:rsidRDefault="00284BB3" w:rsidP="00BB3653">
      <w:pPr>
        <w:pStyle w:val="Ttulo1"/>
        <w:ind w:left="0" w:firstLine="0"/>
        <w:jc w:val="center"/>
        <w:rPr>
          <w:rFonts w:cs="Arial"/>
          <w:sz w:val="22"/>
          <w:szCs w:val="22"/>
          <w:u w:val="none"/>
        </w:rPr>
      </w:pPr>
      <w:r w:rsidRPr="00BB3653">
        <w:rPr>
          <w:rFonts w:cs="Arial"/>
          <w:sz w:val="22"/>
          <w:szCs w:val="22"/>
          <w:u w:val="none"/>
        </w:rPr>
        <w:t>HIPOTECARIO 3</w:t>
      </w:r>
    </w:p>
    <w:p w:rsidR="002F51A6" w:rsidRPr="00374CA8" w:rsidRDefault="002F51A6" w:rsidP="00EB1449">
      <w:pPr>
        <w:spacing w:line="240" w:lineRule="auto"/>
        <w:jc w:val="both"/>
        <w:rPr>
          <w:rFonts w:ascii="Arial" w:hAnsi="Arial" w:cs="Arial"/>
          <w:b/>
          <w:u w:val="single"/>
        </w:rPr>
      </w:pPr>
    </w:p>
    <w:p w:rsidR="002F51A6" w:rsidRPr="00374CA8" w:rsidRDefault="002F51A6" w:rsidP="00BB3653">
      <w:pPr>
        <w:pStyle w:val="Ttulo2"/>
        <w:jc w:val="center"/>
        <w:rPr>
          <w:rFonts w:cs="Arial"/>
          <w:sz w:val="22"/>
          <w:szCs w:val="22"/>
        </w:rPr>
      </w:pPr>
      <w:r w:rsidRPr="00374CA8">
        <w:rPr>
          <w:rFonts w:cs="Arial"/>
          <w:sz w:val="22"/>
          <w:szCs w:val="22"/>
        </w:rPr>
        <w:t>TÍTULO MATERIAL Y TITULO FORMAL</w:t>
      </w:r>
    </w:p>
    <w:p w:rsidR="002F51A6" w:rsidRPr="00374CA8" w:rsidRDefault="002F51A6" w:rsidP="00EB1449">
      <w:pPr>
        <w:spacing w:line="240" w:lineRule="auto"/>
        <w:jc w:val="both"/>
        <w:rPr>
          <w:rFonts w:ascii="Arial" w:hAnsi="Arial" w:cs="Arial"/>
        </w:rPr>
      </w:pPr>
    </w:p>
    <w:p w:rsidR="002F51A6" w:rsidRPr="00374CA8" w:rsidRDefault="002F51A6" w:rsidP="00EB1449">
      <w:pPr>
        <w:spacing w:line="240" w:lineRule="auto"/>
        <w:jc w:val="both"/>
        <w:rPr>
          <w:rFonts w:ascii="Arial" w:hAnsi="Arial" w:cs="Arial"/>
        </w:rPr>
      </w:pPr>
      <w:r w:rsidRPr="00374CA8">
        <w:rPr>
          <w:rFonts w:ascii="Arial" w:hAnsi="Arial" w:cs="Arial"/>
        </w:rPr>
        <w:t xml:space="preserve">El término </w:t>
      </w:r>
      <w:r w:rsidRPr="00374CA8">
        <w:rPr>
          <w:rFonts w:ascii="Arial" w:hAnsi="Arial" w:cs="Arial"/>
          <w:caps/>
        </w:rPr>
        <w:t>“título inscribible”</w:t>
      </w:r>
      <w:r w:rsidRPr="00374CA8">
        <w:rPr>
          <w:rFonts w:ascii="Arial" w:hAnsi="Arial" w:cs="Arial"/>
        </w:rPr>
        <w:t xml:space="preserve"> tiene un doble significado: material y formal</w:t>
      </w:r>
      <w:r w:rsidR="00EB1449" w:rsidRPr="00374CA8">
        <w:rPr>
          <w:rFonts w:ascii="Arial" w:hAnsi="Arial" w:cs="Arial"/>
        </w:rPr>
        <w:t>:</w:t>
      </w:r>
    </w:p>
    <w:p w:rsidR="002F51A6" w:rsidRPr="00374CA8" w:rsidRDefault="002F51A6" w:rsidP="00EB1449">
      <w:pPr>
        <w:spacing w:line="240" w:lineRule="auto"/>
        <w:jc w:val="both"/>
        <w:rPr>
          <w:rFonts w:ascii="Arial" w:hAnsi="Arial" w:cs="Arial"/>
        </w:rPr>
      </w:pPr>
      <w:r w:rsidRPr="00374CA8">
        <w:rPr>
          <w:rFonts w:ascii="Arial" w:hAnsi="Arial" w:cs="Arial"/>
          <w:b/>
        </w:rPr>
        <w:t xml:space="preserve">Título material </w:t>
      </w:r>
      <w:r w:rsidR="00EB1449" w:rsidRPr="00374CA8">
        <w:rPr>
          <w:rFonts w:ascii="Arial" w:hAnsi="Arial" w:cs="Arial"/>
        </w:rPr>
        <w:t xml:space="preserve">es todo “hecho, acto </w:t>
      </w:r>
      <w:proofErr w:type="spellStart"/>
      <w:r w:rsidR="00EB1449" w:rsidRPr="00374CA8">
        <w:rPr>
          <w:rFonts w:ascii="Arial" w:hAnsi="Arial" w:cs="Arial"/>
        </w:rPr>
        <w:t>ó</w:t>
      </w:r>
      <w:proofErr w:type="spellEnd"/>
      <w:r w:rsidR="00EB1449" w:rsidRPr="00374CA8">
        <w:rPr>
          <w:rFonts w:ascii="Arial" w:hAnsi="Arial" w:cs="Arial"/>
        </w:rPr>
        <w:t xml:space="preserve"> negocio jurídico” del que emana el </w:t>
      </w:r>
      <w:proofErr w:type="spellStart"/>
      <w:r w:rsidR="00EB1449" w:rsidRPr="00374CA8">
        <w:rPr>
          <w:rFonts w:ascii="Arial" w:hAnsi="Arial" w:cs="Arial"/>
        </w:rPr>
        <w:t>dº</w:t>
      </w:r>
      <w:proofErr w:type="spellEnd"/>
      <w:r w:rsidR="00EB1449" w:rsidRPr="00374CA8">
        <w:rPr>
          <w:rFonts w:ascii="Arial" w:hAnsi="Arial" w:cs="Arial"/>
        </w:rPr>
        <w:t xml:space="preserve"> inscribible en el RP. El art 2 LH y concordantes del RH señalan cuales son (REMISIÓN)</w:t>
      </w:r>
      <w:r w:rsidRPr="00374CA8">
        <w:rPr>
          <w:rFonts w:ascii="Arial" w:hAnsi="Arial" w:cs="Arial"/>
        </w:rPr>
        <w:t>.</w:t>
      </w:r>
    </w:p>
    <w:p w:rsidR="002F51A6" w:rsidRPr="00374CA8" w:rsidRDefault="002F51A6" w:rsidP="00EB1449">
      <w:pPr>
        <w:spacing w:line="240" w:lineRule="auto"/>
        <w:jc w:val="both"/>
        <w:rPr>
          <w:rFonts w:ascii="Arial" w:hAnsi="Arial" w:cs="Arial"/>
        </w:rPr>
      </w:pPr>
      <w:r w:rsidRPr="00374CA8">
        <w:rPr>
          <w:rFonts w:ascii="Arial" w:hAnsi="Arial" w:cs="Arial"/>
          <w:b/>
        </w:rPr>
        <w:t>Título formal</w:t>
      </w:r>
      <w:r w:rsidRPr="00374CA8">
        <w:rPr>
          <w:rFonts w:ascii="Arial" w:hAnsi="Arial" w:cs="Arial"/>
        </w:rPr>
        <w:t xml:space="preserve"> es el documento que contiene el título material</w:t>
      </w:r>
      <w:r w:rsidR="00EB1449" w:rsidRPr="00374CA8">
        <w:rPr>
          <w:rFonts w:ascii="Arial" w:hAnsi="Arial" w:cs="Arial"/>
        </w:rPr>
        <w:t xml:space="preserve">. </w:t>
      </w:r>
    </w:p>
    <w:p w:rsidR="00EB1449" w:rsidRPr="00374CA8" w:rsidRDefault="00EB1449" w:rsidP="00374CA8">
      <w:pPr>
        <w:spacing w:line="240" w:lineRule="auto"/>
        <w:ind w:left="708"/>
        <w:jc w:val="both"/>
        <w:rPr>
          <w:rFonts w:ascii="Arial" w:hAnsi="Arial" w:cs="Arial"/>
        </w:rPr>
      </w:pPr>
      <w:r w:rsidRPr="00374CA8">
        <w:rPr>
          <w:rFonts w:ascii="Arial" w:hAnsi="Arial" w:cs="Arial"/>
        </w:rPr>
        <w:t xml:space="preserve">A él se refiere el art 3 LH  </w:t>
      </w:r>
      <w:r w:rsidRPr="00374CA8">
        <w:rPr>
          <w:rFonts w:ascii="Arial" w:hAnsi="Arial" w:cs="Arial"/>
          <w:b/>
        </w:rPr>
        <w:t>“Para que puedan ser inscritos los títulos expresados en el artículo anterior, deberán estar consignados en escritura pública, ejecutoria o documento auténtico expedido por Autoridad judicial o por el Gobierno o sus Agentes, en la forma que prescriban los reglamentos</w:t>
      </w:r>
      <w:r w:rsidRPr="00374CA8">
        <w:rPr>
          <w:rFonts w:ascii="Arial" w:hAnsi="Arial" w:cs="Arial"/>
        </w:rPr>
        <w:t>”. REMISIÓN</w:t>
      </w:r>
    </w:p>
    <w:p w:rsidR="00B417D8" w:rsidRDefault="00B417D8" w:rsidP="00EB1449">
      <w:pPr>
        <w:ind w:left="1474" w:hanging="340"/>
        <w:jc w:val="both"/>
        <w:rPr>
          <w:rFonts w:ascii="Arial" w:hAnsi="Arial" w:cs="Arial"/>
          <w:u w:val="single"/>
        </w:rPr>
      </w:pPr>
      <w:r>
        <w:rPr>
          <w:rFonts w:ascii="Arial" w:hAnsi="Arial" w:cs="Arial"/>
        </w:rPr>
        <w:t>“</w:t>
      </w:r>
      <w:r w:rsidRPr="00B417D8">
        <w:rPr>
          <w:rFonts w:ascii="Arial" w:hAnsi="Arial" w:cs="Arial"/>
          <w:b/>
        </w:rPr>
        <w:t>forma”</w:t>
      </w:r>
      <w:r w:rsidR="00EB1449" w:rsidRPr="00374CA8">
        <w:rPr>
          <w:rFonts w:ascii="Arial" w:hAnsi="Arial" w:cs="Arial"/>
        </w:rPr>
        <w:t xml:space="preserve"> Ha de contener </w:t>
      </w:r>
      <w:r w:rsidR="00EB1449" w:rsidRPr="00B417D8">
        <w:rPr>
          <w:rFonts w:ascii="Arial" w:hAnsi="Arial" w:cs="Arial"/>
        </w:rPr>
        <w:t>las solemnidades requeridas por la Ley</w:t>
      </w:r>
    </w:p>
    <w:p w:rsidR="00EB1449" w:rsidRPr="00374CA8" w:rsidRDefault="00EB1449" w:rsidP="00B417D8">
      <w:pPr>
        <w:ind w:left="1756" w:hanging="340"/>
        <w:jc w:val="both"/>
        <w:rPr>
          <w:rFonts w:ascii="Arial" w:hAnsi="Arial" w:cs="Arial"/>
        </w:rPr>
      </w:pPr>
      <w:r w:rsidRPr="00374CA8">
        <w:rPr>
          <w:rFonts w:ascii="Arial" w:hAnsi="Arial" w:cs="Arial"/>
          <w:b/>
        </w:rPr>
        <w:t xml:space="preserve">21 </w:t>
      </w:r>
      <w:r w:rsidR="00374CA8" w:rsidRPr="00374CA8">
        <w:rPr>
          <w:rFonts w:ascii="Arial" w:hAnsi="Arial" w:cs="Arial"/>
          <w:b/>
        </w:rPr>
        <w:t>L</w:t>
      </w:r>
      <w:r w:rsidRPr="00374CA8">
        <w:rPr>
          <w:rFonts w:ascii="Arial" w:hAnsi="Arial" w:cs="Arial"/>
          <w:b/>
        </w:rPr>
        <w:t>H</w:t>
      </w:r>
      <w:r w:rsidRPr="00374CA8">
        <w:rPr>
          <w:rFonts w:ascii="Arial" w:hAnsi="Arial" w:cs="Arial"/>
        </w:rPr>
        <w:t xml:space="preserve"> </w:t>
      </w:r>
      <w:r w:rsidR="00B417D8">
        <w:rPr>
          <w:rFonts w:ascii="Arial" w:hAnsi="Arial" w:cs="Arial"/>
        </w:rPr>
        <w:t xml:space="preserve"> </w:t>
      </w:r>
      <w:r w:rsidRPr="00374CA8">
        <w:rPr>
          <w:rFonts w:ascii="Arial" w:hAnsi="Arial" w:cs="Arial"/>
          <w:b/>
          <w:i/>
          <w:color w:val="7F7F7F"/>
        </w:rPr>
        <w:t xml:space="preserve">Los documentos relativos a contratos </w:t>
      </w:r>
      <w:proofErr w:type="spellStart"/>
      <w:r w:rsidRPr="00374CA8">
        <w:rPr>
          <w:rFonts w:ascii="Arial" w:hAnsi="Arial" w:cs="Arial"/>
          <w:b/>
          <w:i/>
          <w:color w:val="7F7F7F"/>
        </w:rPr>
        <w:t>ó</w:t>
      </w:r>
      <w:proofErr w:type="spellEnd"/>
      <w:r w:rsidRPr="00374CA8">
        <w:rPr>
          <w:rFonts w:ascii="Arial" w:hAnsi="Arial" w:cs="Arial"/>
          <w:b/>
          <w:i/>
          <w:color w:val="7F7F7F"/>
        </w:rPr>
        <w:t xml:space="preserve"> actos que deban inscribirse EXPRESARÁN, por lo menos, </w:t>
      </w:r>
      <w:r w:rsidRPr="00374CA8">
        <w:rPr>
          <w:rFonts w:ascii="Arial" w:hAnsi="Arial" w:cs="Arial"/>
          <w:b/>
          <w:i/>
          <w:color w:val="7F7F7F"/>
          <w:u w:val="single"/>
        </w:rPr>
        <w:t>todas las circunstancias</w:t>
      </w:r>
      <w:r w:rsidRPr="00374CA8">
        <w:rPr>
          <w:rFonts w:ascii="Arial" w:hAnsi="Arial" w:cs="Arial"/>
          <w:b/>
          <w:i/>
          <w:color w:val="7F7F7F"/>
        </w:rPr>
        <w:t xml:space="preserve"> que necesariamente debe contener la inscripción y sean relativas a las personas de los otorgantes, a las fincas y a los derechos inscritos</w:t>
      </w:r>
      <w:r w:rsidRPr="00374CA8">
        <w:rPr>
          <w:rFonts w:ascii="Arial" w:hAnsi="Arial" w:cs="Arial"/>
          <w:color w:val="000000"/>
        </w:rPr>
        <w:t>.</w:t>
      </w:r>
    </w:p>
    <w:p w:rsidR="00EB1449" w:rsidRPr="00374CA8" w:rsidRDefault="00B417D8" w:rsidP="00B417D8">
      <w:pPr>
        <w:ind w:left="1756" w:hanging="340"/>
        <w:jc w:val="both"/>
        <w:rPr>
          <w:rFonts w:ascii="Arial" w:hAnsi="Arial" w:cs="Arial"/>
        </w:rPr>
      </w:pPr>
      <w:r>
        <w:rPr>
          <w:rFonts w:ascii="Arial" w:hAnsi="Arial" w:cs="Arial"/>
          <w:color w:val="000000"/>
        </w:rPr>
        <w:t>También h</w:t>
      </w:r>
      <w:r w:rsidR="00EB1449" w:rsidRPr="00374CA8">
        <w:rPr>
          <w:rFonts w:ascii="Arial" w:hAnsi="Arial" w:cs="Arial"/>
          <w:color w:val="000000"/>
        </w:rPr>
        <w:t xml:space="preserve">a de estar </w:t>
      </w:r>
      <w:r w:rsidR="00EB1449" w:rsidRPr="00374CA8">
        <w:rPr>
          <w:rFonts w:ascii="Arial" w:hAnsi="Arial" w:cs="Arial"/>
          <w:color w:val="000000"/>
          <w:u w:val="single"/>
        </w:rPr>
        <w:t>autoliquidado</w:t>
      </w:r>
      <w:r w:rsidR="00EB1449" w:rsidRPr="00374CA8">
        <w:rPr>
          <w:rFonts w:ascii="Arial" w:hAnsi="Arial" w:cs="Arial"/>
          <w:color w:val="000000"/>
        </w:rPr>
        <w:t xml:space="preserve"> el ITPAJD</w:t>
      </w:r>
      <w:r w:rsidR="00374CA8" w:rsidRPr="00374CA8">
        <w:rPr>
          <w:rFonts w:ascii="Arial" w:hAnsi="Arial" w:cs="Arial"/>
          <w:color w:val="000000"/>
        </w:rPr>
        <w:t>/</w:t>
      </w:r>
      <w:r w:rsidR="00EB1449" w:rsidRPr="00374CA8">
        <w:rPr>
          <w:rFonts w:ascii="Arial" w:hAnsi="Arial" w:cs="Arial"/>
          <w:color w:val="000000"/>
        </w:rPr>
        <w:t>ISD</w:t>
      </w:r>
      <w:r w:rsidR="00374CA8" w:rsidRPr="00374CA8">
        <w:rPr>
          <w:rFonts w:ascii="Arial" w:hAnsi="Arial" w:cs="Arial"/>
          <w:color w:val="000000"/>
        </w:rPr>
        <w:t xml:space="preserve"> (“</w:t>
      </w:r>
      <w:r w:rsidR="00EB1449" w:rsidRPr="00374CA8">
        <w:rPr>
          <w:rFonts w:ascii="Arial" w:hAnsi="Arial" w:cs="Arial"/>
          <w:color w:val="000000"/>
        </w:rPr>
        <w:t xml:space="preserve">cierre registral” </w:t>
      </w:r>
      <w:r w:rsidR="00374CA8" w:rsidRPr="00374CA8">
        <w:rPr>
          <w:rFonts w:ascii="Arial" w:hAnsi="Arial" w:cs="Arial"/>
          <w:color w:val="000000"/>
        </w:rPr>
        <w:t>de</w:t>
      </w:r>
      <w:r w:rsidR="00EB1449" w:rsidRPr="00374CA8">
        <w:rPr>
          <w:rFonts w:ascii="Arial" w:hAnsi="Arial" w:cs="Arial"/>
          <w:color w:val="000000"/>
        </w:rPr>
        <w:t>l art 254 LH</w:t>
      </w:r>
      <w:r w:rsidR="00374CA8" w:rsidRPr="00374CA8">
        <w:rPr>
          <w:rFonts w:ascii="Arial" w:hAnsi="Arial" w:cs="Arial"/>
          <w:color w:val="000000"/>
        </w:rPr>
        <w:t>)</w:t>
      </w:r>
      <w:r w:rsidR="00EB1449" w:rsidRPr="00374CA8">
        <w:rPr>
          <w:rFonts w:ascii="Arial" w:hAnsi="Arial" w:cs="Arial"/>
          <w:color w:val="000000"/>
        </w:rPr>
        <w:t xml:space="preserve"> </w:t>
      </w:r>
    </w:p>
    <w:p w:rsidR="002F51A6" w:rsidRPr="00374CA8" w:rsidRDefault="002F51A6" w:rsidP="00EB1449">
      <w:pPr>
        <w:spacing w:line="240" w:lineRule="auto"/>
        <w:jc w:val="both"/>
        <w:rPr>
          <w:rFonts w:ascii="Arial" w:hAnsi="Arial" w:cs="Arial"/>
        </w:rPr>
      </w:pPr>
      <w:r w:rsidRPr="00374CA8">
        <w:rPr>
          <w:rFonts w:ascii="Arial" w:hAnsi="Arial" w:cs="Arial"/>
        </w:rPr>
        <w:t>Nuestra legislación no ha perfilado debidamente cual es el objeto directo de las inscripciones, y así, en diferentes preceptos de la Ley y el Reglamento se consideran como objeto de inscripción:</w:t>
      </w:r>
      <w:r w:rsidR="00374CA8">
        <w:rPr>
          <w:rFonts w:ascii="Arial" w:hAnsi="Arial" w:cs="Arial"/>
        </w:rPr>
        <w:t xml:space="preserve"> </w:t>
      </w:r>
      <w:r w:rsidRPr="00374CA8">
        <w:rPr>
          <w:rFonts w:ascii="Arial" w:hAnsi="Arial" w:cs="Arial"/>
        </w:rPr>
        <w:t>las fincas</w:t>
      </w:r>
      <w:r w:rsidR="00374CA8">
        <w:rPr>
          <w:rFonts w:ascii="Arial" w:hAnsi="Arial" w:cs="Arial"/>
        </w:rPr>
        <w:t xml:space="preserve"> /</w:t>
      </w:r>
      <w:r w:rsidRPr="00374CA8">
        <w:rPr>
          <w:rFonts w:ascii="Arial" w:hAnsi="Arial" w:cs="Arial"/>
        </w:rPr>
        <w:t xml:space="preserve"> los actos y contratos</w:t>
      </w:r>
      <w:r w:rsidR="00374CA8">
        <w:rPr>
          <w:rFonts w:ascii="Arial" w:hAnsi="Arial" w:cs="Arial"/>
        </w:rPr>
        <w:t xml:space="preserve"> /</w:t>
      </w:r>
      <w:r w:rsidRPr="00374CA8">
        <w:rPr>
          <w:rFonts w:ascii="Arial" w:hAnsi="Arial" w:cs="Arial"/>
        </w:rPr>
        <w:t xml:space="preserve"> los títulos</w:t>
      </w:r>
      <w:r w:rsidR="00374CA8">
        <w:rPr>
          <w:rFonts w:ascii="Arial" w:hAnsi="Arial" w:cs="Arial"/>
        </w:rPr>
        <w:t xml:space="preserve"> /</w:t>
      </w:r>
      <w:r w:rsidRPr="00374CA8">
        <w:rPr>
          <w:rFonts w:ascii="Arial" w:hAnsi="Arial" w:cs="Arial"/>
        </w:rPr>
        <w:t xml:space="preserve"> los derechos.</w:t>
      </w:r>
    </w:p>
    <w:p w:rsidR="00374CA8" w:rsidRDefault="002F51A6" w:rsidP="00EB1449">
      <w:pPr>
        <w:spacing w:line="240" w:lineRule="auto"/>
        <w:jc w:val="both"/>
        <w:rPr>
          <w:rFonts w:ascii="Arial" w:hAnsi="Arial" w:cs="Arial"/>
        </w:rPr>
      </w:pPr>
      <w:r w:rsidRPr="00374CA8">
        <w:rPr>
          <w:rFonts w:ascii="Arial" w:hAnsi="Arial" w:cs="Arial"/>
        </w:rPr>
        <w:t>LACRUZ señala que</w:t>
      </w:r>
      <w:r w:rsidR="00374CA8">
        <w:rPr>
          <w:rFonts w:ascii="Arial" w:hAnsi="Arial" w:cs="Arial"/>
        </w:rPr>
        <w:t xml:space="preserve">, en el RP se </w:t>
      </w:r>
      <w:proofErr w:type="spellStart"/>
      <w:r w:rsidR="00374CA8">
        <w:rPr>
          <w:rFonts w:ascii="Arial" w:hAnsi="Arial" w:cs="Arial"/>
        </w:rPr>
        <w:t>inmatriculan</w:t>
      </w:r>
      <w:proofErr w:type="spellEnd"/>
      <w:r w:rsidR="00374CA8">
        <w:rPr>
          <w:rFonts w:ascii="Arial" w:hAnsi="Arial" w:cs="Arial"/>
        </w:rPr>
        <w:t xml:space="preserve"> fincas, y </w:t>
      </w:r>
      <w:r w:rsidRPr="00374CA8">
        <w:rPr>
          <w:rFonts w:ascii="Arial" w:hAnsi="Arial" w:cs="Arial"/>
        </w:rPr>
        <w:t>lo que</w:t>
      </w:r>
      <w:r w:rsidR="00374CA8">
        <w:rPr>
          <w:rFonts w:ascii="Arial" w:hAnsi="Arial" w:cs="Arial"/>
        </w:rPr>
        <w:t>:</w:t>
      </w:r>
    </w:p>
    <w:p w:rsidR="002F51A6" w:rsidRPr="00374CA8" w:rsidRDefault="002F51A6" w:rsidP="00374CA8">
      <w:pPr>
        <w:spacing w:line="240" w:lineRule="auto"/>
        <w:ind w:left="708"/>
        <w:jc w:val="both"/>
        <w:rPr>
          <w:rFonts w:ascii="Arial" w:hAnsi="Arial" w:cs="Arial"/>
        </w:rPr>
      </w:pPr>
      <w:r w:rsidRPr="00374CA8">
        <w:rPr>
          <w:rFonts w:ascii="Arial" w:hAnsi="Arial" w:cs="Arial"/>
        </w:rPr>
        <w:t xml:space="preserve">se </w:t>
      </w:r>
      <w:r w:rsidRPr="00374CA8">
        <w:rPr>
          <w:rFonts w:ascii="Arial" w:hAnsi="Arial" w:cs="Arial"/>
          <w:u w:val="single"/>
        </w:rPr>
        <w:t>presenta</w:t>
      </w:r>
      <w:r w:rsidRPr="00374CA8">
        <w:rPr>
          <w:rFonts w:ascii="Arial" w:hAnsi="Arial" w:cs="Arial"/>
        </w:rPr>
        <w:t xml:space="preserve"> en el Registro es un documento</w:t>
      </w:r>
      <w:r w:rsidR="00374CA8">
        <w:rPr>
          <w:rFonts w:ascii="Arial" w:hAnsi="Arial" w:cs="Arial"/>
        </w:rPr>
        <w:t xml:space="preserve"> (</w:t>
      </w:r>
      <w:r w:rsidRPr="00374CA8">
        <w:rPr>
          <w:rFonts w:ascii="Arial" w:hAnsi="Arial" w:cs="Arial"/>
        </w:rPr>
        <w:t>título formal</w:t>
      </w:r>
      <w:r w:rsidR="00374CA8">
        <w:rPr>
          <w:rFonts w:ascii="Arial" w:hAnsi="Arial" w:cs="Arial"/>
        </w:rPr>
        <w:t>)</w:t>
      </w:r>
    </w:p>
    <w:p w:rsidR="002F51A6" w:rsidRPr="00374CA8" w:rsidRDefault="002F51A6" w:rsidP="00374CA8">
      <w:pPr>
        <w:spacing w:line="240" w:lineRule="auto"/>
        <w:ind w:left="708"/>
        <w:jc w:val="both"/>
        <w:rPr>
          <w:rFonts w:ascii="Arial" w:hAnsi="Arial" w:cs="Arial"/>
        </w:rPr>
      </w:pPr>
      <w:r w:rsidRPr="00374CA8">
        <w:rPr>
          <w:rFonts w:ascii="Arial" w:hAnsi="Arial" w:cs="Arial"/>
        </w:rPr>
        <w:t xml:space="preserve">se </w:t>
      </w:r>
      <w:r w:rsidRPr="00374CA8">
        <w:rPr>
          <w:rFonts w:ascii="Arial" w:hAnsi="Arial" w:cs="Arial"/>
          <w:u w:val="single"/>
        </w:rPr>
        <w:t>inscribe</w:t>
      </w:r>
      <w:r w:rsidRPr="00374CA8">
        <w:rPr>
          <w:rFonts w:ascii="Arial" w:hAnsi="Arial" w:cs="Arial"/>
        </w:rPr>
        <w:t xml:space="preserve"> </w:t>
      </w:r>
      <w:r w:rsidR="00374CA8">
        <w:rPr>
          <w:rFonts w:ascii="Arial" w:hAnsi="Arial" w:cs="Arial"/>
        </w:rPr>
        <w:t>son</w:t>
      </w:r>
      <w:r w:rsidRPr="00374CA8">
        <w:rPr>
          <w:rFonts w:ascii="Arial" w:hAnsi="Arial" w:cs="Arial"/>
        </w:rPr>
        <w:t xml:space="preserve"> acto</w:t>
      </w:r>
      <w:r w:rsidR="00374CA8">
        <w:rPr>
          <w:rFonts w:ascii="Arial" w:hAnsi="Arial" w:cs="Arial"/>
        </w:rPr>
        <w:t>s/c</w:t>
      </w:r>
      <w:r w:rsidRPr="00374CA8">
        <w:rPr>
          <w:rFonts w:ascii="Arial" w:hAnsi="Arial" w:cs="Arial"/>
        </w:rPr>
        <w:t>ontrato</w:t>
      </w:r>
      <w:r w:rsidR="00374CA8">
        <w:rPr>
          <w:rFonts w:ascii="Arial" w:hAnsi="Arial" w:cs="Arial"/>
        </w:rPr>
        <w:t>s (</w:t>
      </w:r>
      <w:r w:rsidRPr="00374CA8">
        <w:rPr>
          <w:rFonts w:ascii="Arial" w:hAnsi="Arial" w:cs="Arial"/>
        </w:rPr>
        <w:t>título material</w:t>
      </w:r>
      <w:r w:rsidR="00374CA8">
        <w:rPr>
          <w:rFonts w:ascii="Arial" w:hAnsi="Arial" w:cs="Arial"/>
        </w:rPr>
        <w:t>)</w:t>
      </w:r>
    </w:p>
    <w:p w:rsidR="002F51A6" w:rsidRDefault="002F51A6" w:rsidP="00374CA8">
      <w:pPr>
        <w:spacing w:line="240" w:lineRule="auto"/>
        <w:ind w:left="708"/>
        <w:jc w:val="both"/>
        <w:rPr>
          <w:rFonts w:ascii="Arial" w:hAnsi="Arial" w:cs="Arial"/>
        </w:rPr>
      </w:pPr>
      <w:r w:rsidRPr="00374CA8">
        <w:rPr>
          <w:rFonts w:ascii="Arial" w:hAnsi="Arial" w:cs="Arial"/>
        </w:rPr>
        <w:t xml:space="preserve">el Registro </w:t>
      </w:r>
      <w:r w:rsidRPr="00374CA8">
        <w:rPr>
          <w:rFonts w:ascii="Arial" w:hAnsi="Arial" w:cs="Arial"/>
          <w:u w:val="single"/>
        </w:rPr>
        <w:t>publica</w:t>
      </w:r>
      <w:r w:rsidRPr="00374CA8">
        <w:rPr>
          <w:rFonts w:ascii="Arial" w:hAnsi="Arial" w:cs="Arial"/>
        </w:rPr>
        <w:t xml:space="preserve"> son derechos </w:t>
      </w:r>
      <w:r w:rsidR="00374CA8">
        <w:rPr>
          <w:rFonts w:ascii="Arial" w:hAnsi="Arial" w:cs="Arial"/>
        </w:rPr>
        <w:t>(</w:t>
      </w:r>
      <w:r w:rsidRPr="00374CA8">
        <w:rPr>
          <w:rFonts w:ascii="Arial" w:hAnsi="Arial" w:cs="Arial"/>
        </w:rPr>
        <w:t>titularidad</w:t>
      </w:r>
      <w:r w:rsidR="00374CA8">
        <w:rPr>
          <w:rFonts w:ascii="Arial" w:hAnsi="Arial" w:cs="Arial"/>
        </w:rPr>
        <w:t>es)</w:t>
      </w:r>
    </w:p>
    <w:p w:rsidR="00374CA8" w:rsidRPr="00374CA8" w:rsidRDefault="00374CA8" w:rsidP="00374CA8">
      <w:pPr>
        <w:spacing w:line="240" w:lineRule="auto"/>
        <w:ind w:left="708"/>
        <w:jc w:val="both"/>
        <w:rPr>
          <w:rFonts w:ascii="Arial" w:hAnsi="Arial" w:cs="Arial"/>
        </w:rPr>
      </w:pPr>
    </w:p>
    <w:tbl>
      <w:tblPr>
        <w:tblStyle w:val="Tablaconcuadrcula"/>
        <w:tblW w:w="5000" w:type="pct"/>
        <w:tblLook w:val="04A0" w:firstRow="1" w:lastRow="0" w:firstColumn="1" w:lastColumn="0" w:noHBand="0" w:noVBand="1"/>
      </w:tblPr>
      <w:tblGrid>
        <w:gridCol w:w="8494"/>
      </w:tblGrid>
      <w:tr w:rsidR="002F51A6" w:rsidRPr="00374CA8" w:rsidTr="00A9042F">
        <w:trPr>
          <w:trHeight w:val="306"/>
        </w:trPr>
        <w:tc>
          <w:tcPr>
            <w:tcW w:w="5000" w:type="pct"/>
          </w:tcPr>
          <w:p w:rsidR="002F51A6" w:rsidRPr="00374CA8" w:rsidRDefault="002F51A6" w:rsidP="00BB3653">
            <w:pPr>
              <w:spacing w:line="240" w:lineRule="auto"/>
              <w:jc w:val="center"/>
              <w:rPr>
                <w:rFonts w:ascii="Arial" w:hAnsi="Arial" w:cs="Arial"/>
                <w:b/>
              </w:rPr>
            </w:pPr>
            <w:r w:rsidRPr="00374CA8">
              <w:rPr>
                <w:rFonts w:ascii="Arial" w:hAnsi="Arial" w:cs="Arial"/>
                <w:b/>
              </w:rPr>
              <w:t>LA TRADICION Y LA INSCRIPCIÓN</w:t>
            </w:r>
          </w:p>
        </w:tc>
      </w:tr>
    </w:tbl>
    <w:p w:rsidR="002F51A6" w:rsidRPr="00374CA8" w:rsidRDefault="002F51A6" w:rsidP="00EB1449">
      <w:pPr>
        <w:spacing w:line="240" w:lineRule="auto"/>
        <w:jc w:val="both"/>
        <w:rPr>
          <w:rFonts w:ascii="Arial" w:hAnsi="Arial" w:cs="Arial"/>
        </w:rPr>
      </w:pPr>
    </w:p>
    <w:p w:rsidR="00AA3683" w:rsidRPr="0090334F" w:rsidRDefault="00150169" w:rsidP="00AA3683">
      <w:pPr>
        <w:spacing w:line="240" w:lineRule="auto"/>
        <w:jc w:val="both"/>
        <w:rPr>
          <w:rFonts w:ascii="Arial" w:hAnsi="Arial" w:cs="Arial"/>
        </w:rPr>
      </w:pPr>
      <w:r w:rsidRPr="0090334F">
        <w:rPr>
          <w:rFonts w:ascii="Arial" w:hAnsi="Arial" w:cs="Arial"/>
        </w:rPr>
        <w:t>Una de las cuestiones más debatidas en nuestro Derecho Inmobiliario Registral es la relación tradición</w:t>
      </w:r>
      <w:r w:rsidR="00302CB3">
        <w:rPr>
          <w:rFonts w:ascii="Arial" w:hAnsi="Arial" w:cs="Arial"/>
        </w:rPr>
        <w:t>-</w:t>
      </w:r>
      <w:r w:rsidRPr="0090334F">
        <w:rPr>
          <w:rFonts w:ascii="Arial" w:hAnsi="Arial" w:cs="Arial"/>
        </w:rPr>
        <w:t>inscripción</w:t>
      </w:r>
      <w:r w:rsidR="00AA3683" w:rsidRPr="0090334F">
        <w:rPr>
          <w:rFonts w:ascii="Arial" w:hAnsi="Arial" w:cs="Arial"/>
        </w:rPr>
        <w:t>:</w:t>
      </w:r>
      <w:r w:rsidRPr="0090334F">
        <w:rPr>
          <w:rFonts w:ascii="Arial" w:hAnsi="Arial" w:cs="Arial"/>
        </w:rPr>
        <w:t xml:space="preserve"> </w:t>
      </w:r>
      <w:r w:rsidRPr="0090334F">
        <w:rPr>
          <w:rFonts w:ascii="Arial" w:hAnsi="Arial" w:cs="Arial"/>
          <w:b/>
        </w:rPr>
        <w:t>la inscripción</w:t>
      </w:r>
      <w:r w:rsidR="00AA3683" w:rsidRPr="0090334F">
        <w:rPr>
          <w:rFonts w:ascii="Arial" w:hAnsi="Arial" w:cs="Arial"/>
          <w:b/>
        </w:rPr>
        <w:t>, ¿</w:t>
      </w:r>
      <w:r w:rsidRPr="0090334F">
        <w:rPr>
          <w:rFonts w:ascii="Arial" w:hAnsi="Arial" w:cs="Arial"/>
          <w:b/>
        </w:rPr>
        <w:t>suple</w:t>
      </w:r>
      <w:r w:rsidR="00302CB3">
        <w:rPr>
          <w:rFonts w:ascii="Arial" w:hAnsi="Arial" w:cs="Arial"/>
          <w:b/>
        </w:rPr>
        <w:t xml:space="preserve"> </w:t>
      </w:r>
      <w:r w:rsidR="00AA3683" w:rsidRPr="0090334F">
        <w:rPr>
          <w:rFonts w:ascii="Arial" w:hAnsi="Arial" w:cs="Arial"/>
          <w:b/>
        </w:rPr>
        <w:t>a</w:t>
      </w:r>
      <w:r w:rsidRPr="0090334F">
        <w:rPr>
          <w:rFonts w:ascii="Arial" w:hAnsi="Arial" w:cs="Arial"/>
          <w:b/>
        </w:rPr>
        <w:t xml:space="preserve"> la tradición</w:t>
      </w:r>
      <w:r w:rsidR="00907494">
        <w:rPr>
          <w:rFonts w:ascii="Arial" w:hAnsi="Arial" w:cs="Arial"/>
          <w:b/>
        </w:rPr>
        <w:t>?</w:t>
      </w:r>
      <w:r w:rsidR="00AA3683" w:rsidRPr="0090334F">
        <w:rPr>
          <w:rFonts w:ascii="Arial" w:hAnsi="Arial" w:cs="Arial"/>
        </w:rPr>
        <w:t>:</w:t>
      </w:r>
    </w:p>
    <w:p w:rsidR="002F51A6" w:rsidRPr="0090334F" w:rsidRDefault="00A9042F" w:rsidP="00AA3683">
      <w:pPr>
        <w:spacing w:line="240" w:lineRule="auto"/>
        <w:jc w:val="both"/>
        <w:rPr>
          <w:rFonts w:ascii="Arial" w:hAnsi="Arial" w:cs="Arial"/>
        </w:rPr>
      </w:pPr>
      <w:r w:rsidRPr="0090334F">
        <w:rPr>
          <w:rFonts w:ascii="Arial" w:hAnsi="Arial" w:cs="Arial"/>
        </w:rPr>
        <w:t xml:space="preserve">+ </w:t>
      </w:r>
      <w:r w:rsidR="00AA3683" w:rsidRPr="0090334F">
        <w:rPr>
          <w:rFonts w:ascii="Arial" w:hAnsi="Arial" w:cs="Arial"/>
        </w:rPr>
        <w:t xml:space="preserve">Es claro que </w:t>
      </w:r>
      <w:r w:rsidR="002F51A6" w:rsidRPr="0090334F">
        <w:rPr>
          <w:rFonts w:ascii="Arial" w:hAnsi="Arial" w:cs="Arial"/>
        </w:rPr>
        <w:t xml:space="preserve">en </w:t>
      </w:r>
      <w:r w:rsidR="00AA3683" w:rsidRPr="0090334F">
        <w:rPr>
          <w:rFonts w:ascii="Arial" w:hAnsi="Arial" w:cs="Arial"/>
        </w:rPr>
        <w:t>nuestro actual D</w:t>
      </w:r>
      <w:r w:rsidR="002F51A6" w:rsidRPr="0090334F">
        <w:rPr>
          <w:rFonts w:ascii="Arial" w:hAnsi="Arial" w:cs="Arial"/>
        </w:rPr>
        <w:t xml:space="preserve">erecho </w:t>
      </w:r>
      <w:r w:rsidR="00AA3683" w:rsidRPr="0090334F">
        <w:rPr>
          <w:rFonts w:ascii="Arial" w:hAnsi="Arial" w:cs="Arial"/>
        </w:rPr>
        <w:t>Común</w:t>
      </w:r>
      <w:r w:rsidR="002F51A6" w:rsidRPr="0090334F">
        <w:rPr>
          <w:rFonts w:ascii="Arial" w:hAnsi="Arial" w:cs="Arial"/>
        </w:rPr>
        <w:t xml:space="preserve"> las transmisiones “inter vi</w:t>
      </w:r>
      <w:r w:rsidR="009D047C" w:rsidRPr="0090334F">
        <w:rPr>
          <w:rFonts w:ascii="Arial" w:hAnsi="Arial" w:cs="Arial"/>
        </w:rPr>
        <w:t xml:space="preserve">vos” </w:t>
      </w:r>
      <w:r w:rsidR="00AA3683" w:rsidRPr="0090334F">
        <w:rPr>
          <w:rFonts w:ascii="Arial" w:hAnsi="Arial" w:cs="Arial"/>
        </w:rPr>
        <w:t>requieren de título</w:t>
      </w:r>
      <w:r w:rsidR="002F51A6" w:rsidRPr="0090334F">
        <w:rPr>
          <w:rFonts w:ascii="Arial" w:hAnsi="Arial" w:cs="Arial"/>
        </w:rPr>
        <w:t xml:space="preserve"> (contrato) y modo (tradición). </w:t>
      </w:r>
    </w:p>
    <w:p w:rsidR="00BB3653" w:rsidRPr="0090334F" w:rsidRDefault="00BB3653" w:rsidP="00BB3653">
      <w:pPr>
        <w:spacing w:line="240" w:lineRule="auto"/>
        <w:ind w:left="708"/>
        <w:jc w:val="both"/>
        <w:rPr>
          <w:rFonts w:ascii="Arial" w:hAnsi="Arial" w:cs="Arial"/>
        </w:rPr>
      </w:pPr>
      <w:r w:rsidRPr="0090334F">
        <w:rPr>
          <w:rFonts w:ascii="Arial" w:hAnsi="Arial" w:cs="Arial"/>
        </w:rPr>
        <w:t xml:space="preserve">Pilares en el </w:t>
      </w:r>
      <w:proofErr w:type="spellStart"/>
      <w:r w:rsidRPr="0090334F">
        <w:rPr>
          <w:rFonts w:ascii="Arial" w:hAnsi="Arial" w:cs="Arial"/>
        </w:rPr>
        <w:t>Cc</w:t>
      </w:r>
      <w:proofErr w:type="spellEnd"/>
      <w:r w:rsidRPr="0090334F">
        <w:rPr>
          <w:rFonts w:ascii="Arial" w:hAnsi="Arial" w:cs="Arial"/>
        </w:rPr>
        <w:t xml:space="preserve">: arts. </w:t>
      </w:r>
      <w:r w:rsidRPr="0090334F">
        <w:rPr>
          <w:rFonts w:ascii="Arial" w:hAnsi="Arial" w:cs="Arial"/>
          <w:b/>
        </w:rPr>
        <w:t>609</w:t>
      </w:r>
      <w:r w:rsidRPr="0090334F">
        <w:rPr>
          <w:rFonts w:ascii="Arial" w:hAnsi="Arial" w:cs="Arial"/>
        </w:rPr>
        <w:t xml:space="preserve"> (“la propiedad se transmite mediante ciertos contratos mediante la tradición”), </w:t>
      </w:r>
      <w:r w:rsidRPr="0090334F">
        <w:rPr>
          <w:rFonts w:ascii="Arial" w:hAnsi="Arial" w:cs="Arial"/>
          <w:b/>
        </w:rPr>
        <w:t>1095</w:t>
      </w:r>
      <w:r w:rsidRPr="0090334F">
        <w:rPr>
          <w:rFonts w:ascii="Arial" w:hAnsi="Arial" w:cs="Arial"/>
        </w:rPr>
        <w:t xml:space="preserve"> (“el acreedor tiene derecho a los frutos de la cosa desde que nace la obligación de entregarla. Sin embargo, no adquirirá derecho </w:t>
      </w:r>
      <w:r w:rsidRPr="0090334F">
        <w:rPr>
          <w:rFonts w:ascii="Arial" w:hAnsi="Arial" w:cs="Arial"/>
        </w:rPr>
        <w:lastRenderedPageBreak/>
        <w:t xml:space="preserve">real sobre ella hasta que le haya sido entregada”), </w:t>
      </w:r>
      <w:r w:rsidRPr="0090334F">
        <w:rPr>
          <w:rFonts w:ascii="Arial" w:hAnsi="Arial" w:cs="Arial"/>
          <w:b/>
        </w:rPr>
        <w:t>1462</w:t>
      </w:r>
      <w:r w:rsidRPr="0090334F">
        <w:rPr>
          <w:rFonts w:ascii="Arial" w:hAnsi="Arial" w:cs="Arial"/>
        </w:rPr>
        <w:t xml:space="preserve"> (“cuando se haga la venta mediante escritura pública, el otorgamiento de ésta equivaldrá a la entrega de la cosa objeto del contrato, si de la misma escritura no resultare o se dedujere claramente lo contrario”) y </w:t>
      </w:r>
      <w:r w:rsidRPr="0090334F">
        <w:rPr>
          <w:rFonts w:ascii="Arial" w:hAnsi="Arial" w:cs="Arial"/>
          <w:b/>
        </w:rPr>
        <w:t>1473</w:t>
      </w:r>
      <w:r w:rsidRPr="0090334F">
        <w:rPr>
          <w:rFonts w:ascii="Arial" w:hAnsi="Arial" w:cs="Arial"/>
        </w:rPr>
        <w:t xml:space="preserve"> (en caso de doble venta da preferencia al comprador que antes inscriba aunque no sea el primero en la posesión).</w:t>
      </w:r>
    </w:p>
    <w:p w:rsidR="002F51A6" w:rsidRPr="0090334F" w:rsidRDefault="00A9042F" w:rsidP="00EB1449">
      <w:pPr>
        <w:spacing w:line="240" w:lineRule="auto"/>
        <w:jc w:val="both"/>
        <w:rPr>
          <w:rFonts w:ascii="Arial" w:hAnsi="Arial" w:cs="Arial"/>
        </w:rPr>
      </w:pPr>
      <w:r w:rsidRPr="0090334F">
        <w:rPr>
          <w:rFonts w:ascii="Arial" w:hAnsi="Arial" w:cs="Arial"/>
        </w:rPr>
        <w:t xml:space="preserve">+ </w:t>
      </w:r>
      <w:r w:rsidR="00BB3653" w:rsidRPr="0090334F">
        <w:rPr>
          <w:rFonts w:ascii="Arial" w:hAnsi="Arial" w:cs="Arial"/>
        </w:rPr>
        <w:t xml:space="preserve">Ahora bien, ¿respetó la LH de 1861 la teoría del título y el modo? </w:t>
      </w:r>
      <w:r w:rsidR="002F51A6" w:rsidRPr="0090334F">
        <w:rPr>
          <w:rFonts w:ascii="Arial" w:hAnsi="Arial" w:cs="Arial"/>
        </w:rPr>
        <w:t xml:space="preserve">Tras </w:t>
      </w:r>
      <w:r w:rsidR="00BB3653" w:rsidRPr="0090334F">
        <w:rPr>
          <w:rFonts w:ascii="Arial" w:hAnsi="Arial" w:cs="Arial"/>
        </w:rPr>
        <w:t>su</w:t>
      </w:r>
      <w:r w:rsidR="002F51A6" w:rsidRPr="0090334F">
        <w:rPr>
          <w:rFonts w:ascii="Arial" w:hAnsi="Arial" w:cs="Arial"/>
        </w:rPr>
        <w:t xml:space="preserve"> publicación se </w:t>
      </w:r>
      <w:r w:rsidR="00AA3683" w:rsidRPr="0090334F">
        <w:rPr>
          <w:rFonts w:ascii="Arial" w:hAnsi="Arial" w:cs="Arial"/>
        </w:rPr>
        <w:t>debatió/debate</w:t>
      </w:r>
      <w:r w:rsidR="002F51A6" w:rsidRPr="0090334F">
        <w:rPr>
          <w:rFonts w:ascii="Arial" w:hAnsi="Arial" w:cs="Arial"/>
        </w:rPr>
        <w:t xml:space="preserve"> </w:t>
      </w:r>
      <w:r w:rsidR="00BB3653" w:rsidRPr="0090334F">
        <w:rPr>
          <w:rFonts w:ascii="Arial" w:hAnsi="Arial" w:cs="Arial"/>
        </w:rPr>
        <w:t xml:space="preserve">todavía </w:t>
      </w:r>
      <w:r w:rsidR="002F51A6" w:rsidRPr="0090334F">
        <w:rPr>
          <w:rFonts w:ascii="Arial" w:hAnsi="Arial" w:cs="Arial"/>
        </w:rPr>
        <w:t>si se ha modificado el sistema</w:t>
      </w:r>
      <w:r w:rsidR="00BB3653" w:rsidRPr="0090334F">
        <w:rPr>
          <w:rFonts w:ascii="Arial" w:hAnsi="Arial" w:cs="Arial"/>
        </w:rPr>
        <w:t xml:space="preserve">, esto es, </w:t>
      </w:r>
      <w:r w:rsidR="002F51A6" w:rsidRPr="0090334F">
        <w:rPr>
          <w:rFonts w:ascii="Arial" w:hAnsi="Arial" w:cs="Arial"/>
        </w:rPr>
        <w:t>si la inscripción en el Registro desempeña el papel hasta entonces asignado a la tradición:</w:t>
      </w:r>
    </w:p>
    <w:p w:rsidR="002F51A6" w:rsidRPr="0090334F" w:rsidRDefault="002F51A6" w:rsidP="00BB3653">
      <w:pPr>
        <w:spacing w:line="240" w:lineRule="auto"/>
        <w:ind w:left="708"/>
        <w:jc w:val="both"/>
        <w:rPr>
          <w:rFonts w:ascii="Arial" w:hAnsi="Arial" w:cs="Arial"/>
        </w:rPr>
      </w:pPr>
      <w:r w:rsidRPr="0090334F">
        <w:rPr>
          <w:rFonts w:ascii="Arial" w:hAnsi="Arial" w:cs="Arial"/>
        </w:rPr>
        <w:t>- Quienes opinaban afirmativamente se basan en que la publicidad de la inscripción registral suple con ventaja a la publicidad posesoria de la tradición, y en la Exposición de Motivos de la LH de 1861 cuya redacción se presta a servir de argumento a esta concepción.</w:t>
      </w:r>
    </w:p>
    <w:p w:rsidR="002F51A6" w:rsidRPr="0090334F" w:rsidRDefault="002F51A6" w:rsidP="00BB3653">
      <w:pPr>
        <w:spacing w:line="240" w:lineRule="auto"/>
        <w:ind w:left="708"/>
        <w:jc w:val="both"/>
        <w:rPr>
          <w:rFonts w:ascii="Arial" w:hAnsi="Arial" w:cs="Arial"/>
        </w:rPr>
      </w:pPr>
      <w:r w:rsidRPr="0090334F">
        <w:rPr>
          <w:rFonts w:ascii="Arial" w:hAnsi="Arial" w:cs="Arial"/>
        </w:rPr>
        <w:t>- Quienes opinaban negativamente aducen básicamente que en la LH no hay precepto que declare la modificación del derecho antiguo, modificación que, versando sobre materia tan decisiva, hubiera debido venir explícitamente declarada en el articulado de la Ley. La LH solamente s</w:t>
      </w:r>
      <w:r w:rsidR="00BB3653" w:rsidRPr="0090334F">
        <w:rPr>
          <w:rFonts w:ascii="Arial" w:hAnsi="Arial" w:cs="Arial"/>
        </w:rPr>
        <w:t>uperpone la protección registral al sistema civil</w:t>
      </w:r>
      <w:r w:rsidRPr="0090334F">
        <w:rPr>
          <w:rFonts w:ascii="Arial" w:hAnsi="Arial" w:cs="Arial"/>
        </w:rPr>
        <w:t>.</w:t>
      </w:r>
    </w:p>
    <w:p w:rsidR="00A9042F" w:rsidRPr="0090334F" w:rsidRDefault="0090334F" w:rsidP="00472A14">
      <w:pPr>
        <w:spacing w:line="240" w:lineRule="auto"/>
        <w:jc w:val="both"/>
        <w:rPr>
          <w:rFonts w:ascii="Arial" w:hAnsi="Arial" w:cs="Arial"/>
        </w:rPr>
      </w:pPr>
      <w:r w:rsidRPr="0090334F">
        <w:rPr>
          <w:rFonts w:ascii="Arial" w:hAnsi="Arial" w:cs="Arial"/>
          <w:b/>
        </w:rPr>
        <w:t xml:space="preserve">¥ </w:t>
      </w:r>
      <w:r w:rsidR="00A9042F" w:rsidRPr="0090334F">
        <w:rPr>
          <w:rFonts w:ascii="Arial" w:hAnsi="Arial" w:cs="Arial"/>
        </w:rPr>
        <w:t xml:space="preserve">Algunos </w:t>
      </w:r>
      <w:r w:rsidR="00521F88" w:rsidRPr="0090334F">
        <w:rPr>
          <w:rFonts w:ascii="Arial" w:hAnsi="Arial" w:cs="Arial"/>
        </w:rPr>
        <w:t xml:space="preserve">entienden </w:t>
      </w:r>
      <w:r w:rsidR="00A9042F" w:rsidRPr="0090334F">
        <w:rPr>
          <w:rFonts w:ascii="Arial" w:hAnsi="Arial" w:cs="Arial"/>
        </w:rPr>
        <w:t xml:space="preserve"> que la inscripción </w:t>
      </w:r>
      <w:r w:rsidR="00521F88" w:rsidRPr="0090334F">
        <w:rPr>
          <w:rFonts w:ascii="Arial" w:hAnsi="Arial" w:cs="Arial"/>
        </w:rPr>
        <w:t>ha</w:t>
      </w:r>
      <w:r w:rsidR="00A9042F" w:rsidRPr="0090334F">
        <w:rPr>
          <w:rFonts w:ascii="Arial" w:hAnsi="Arial" w:cs="Arial"/>
        </w:rPr>
        <w:t xml:space="preserve"> </w:t>
      </w:r>
      <w:r w:rsidR="00521F88" w:rsidRPr="0090334F">
        <w:rPr>
          <w:rFonts w:ascii="Arial" w:hAnsi="Arial" w:cs="Arial"/>
        </w:rPr>
        <w:t>“</w:t>
      </w:r>
      <w:r w:rsidR="00A9042F" w:rsidRPr="0090334F">
        <w:rPr>
          <w:rFonts w:ascii="Arial" w:hAnsi="Arial" w:cs="Arial"/>
        </w:rPr>
        <w:t>sustituido” a la tradición</w:t>
      </w:r>
      <w:r w:rsidR="00472A14" w:rsidRPr="0090334F">
        <w:rPr>
          <w:rFonts w:ascii="Arial" w:hAnsi="Arial" w:cs="Arial"/>
        </w:rPr>
        <w:t xml:space="preserve">, </w:t>
      </w:r>
      <w:r w:rsidR="00A9042F" w:rsidRPr="0090334F">
        <w:rPr>
          <w:rFonts w:ascii="Arial" w:hAnsi="Arial" w:cs="Arial"/>
        </w:rPr>
        <w:t xml:space="preserve">como ocurrió en el </w:t>
      </w:r>
      <w:proofErr w:type="spellStart"/>
      <w:r w:rsidR="00A9042F" w:rsidRPr="0090334F">
        <w:rPr>
          <w:rFonts w:ascii="Arial" w:hAnsi="Arial" w:cs="Arial"/>
        </w:rPr>
        <w:t>Dº</w:t>
      </w:r>
      <w:proofErr w:type="spellEnd"/>
      <w:r w:rsidR="00A9042F" w:rsidRPr="0090334F">
        <w:rPr>
          <w:rFonts w:ascii="Arial" w:hAnsi="Arial" w:cs="Arial"/>
        </w:rPr>
        <w:t xml:space="preserve"> Suizo</w:t>
      </w:r>
      <w:r w:rsidR="00521F88" w:rsidRPr="0090334F">
        <w:rPr>
          <w:rFonts w:ascii="Arial" w:hAnsi="Arial" w:cs="Arial"/>
        </w:rPr>
        <w:t xml:space="preserve"> (</w:t>
      </w:r>
      <w:r w:rsidR="00A9042F" w:rsidRPr="0090334F">
        <w:rPr>
          <w:rFonts w:ascii="Arial" w:hAnsi="Arial" w:cs="Arial"/>
        </w:rPr>
        <w:t>se basan en el</w:t>
      </w:r>
      <w:r w:rsidR="00521F88" w:rsidRPr="0090334F">
        <w:rPr>
          <w:rFonts w:ascii="Arial" w:hAnsi="Arial" w:cs="Arial"/>
        </w:rPr>
        <w:t xml:space="preserve"> </w:t>
      </w:r>
      <w:r w:rsidR="00A9042F" w:rsidRPr="0090334F">
        <w:rPr>
          <w:rFonts w:ascii="Arial" w:hAnsi="Arial" w:cs="Arial"/>
        </w:rPr>
        <w:t>art 32</w:t>
      </w:r>
      <w:r w:rsidR="00521F88" w:rsidRPr="0090334F">
        <w:rPr>
          <w:rFonts w:ascii="Arial" w:hAnsi="Arial" w:cs="Arial"/>
        </w:rPr>
        <w:t xml:space="preserve"> LH: </w:t>
      </w:r>
      <w:r w:rsidR="00A9042F" w:rsidRPr="0090334F">
        <w:rPr>
          <w:rFonts w:ascii="Arial" w:hAnsi="Arial" w:cs="Arial"/>
        </w:rPr>
        <w:t>los títulos no inscritos no perjudican a 3º</w:t>
      </w:r>
      <w:r w:rsidR="00521F88" w:rsidRPr="0090334F">
        <w:rPr>
          <w:rFonts w:ascii="Arial" w:hAnsi="Arial" w:cs="Arial"/>
        </w:rPr>
        <w:t>)</w:t>
      </w:r>
      <w:r w:rsidR="00A9042F" w:rsidRPr="0090334F">
        <w:rPr>
          <w:rFonts w:ascii="Arial" w:hAnsi="Arial" w:cs="Arial"/>
        </w:rPr>
        <w:t xml:space="preserve">. </w:t>
      </w:r>
    </w:p>
    <w:p w:rsidR="000C0144" w:rsidRPr="0090334F" w:rsidRDefault="000C0144" w:rsidP="000C0144">
      <w:pPr>
        <w:ind w:left="708"/>
        <w:jc w:val="both"/>
        <w:rPr>
          <w:rFonts w:ascii="Arial" w:hAnsi="Arial" w:cs="Arial"/>
        </w:rPr>
      </w:pPr>
      <w:r w:rsidRPr="0090334F">
        <w:rPr>
          <w:rFonts w:ascii="Arial" w:hAnsi="Arial" w:cs="Arial"/>
        </w:rPr>
        <w:t>Según NUÑEZ LAGOS la inscripción solamente ha sustituido a la tradición en el caso de la doble venta</w:t>
      </w:r>
    </w:p>
    <w:p w:rsidR="00A9042F" w:rsidRPr="0090334F" w:rsidRDefault="0090334F" w:rsidP="00472A14">
      <w:pPr>
        <w:spacing w:line="240" w:lineRule="auto"/>
        <w:jc w:val="both"/>
        <w:rPr>
          <w:rFonts w:ascii="Arial" w:hAnsi="Arial" w:cs="Arial"/>
        </w:rPr>
      </w:pPr>
      <w:r w:rsidRPr="0090334F">
        <w:rPr>
          <w:rFonts w:ascii="Arial" w:hAnsi="Arial" w:cs="Arial"/>
          <w:b/>
        </w:rPr>
        <w:t xml:space="preserve">¥ </w:t>
      </w:r>
      <w:r w:rsidR="00A9042F" w:rsidRPr="0090334F">
        <w:rPr>
          <w:rFonts w:ascii="Arial" w:hAnsi="Arial" w:cs="Arial"/>
        </w:rPr>
        <w:t xml:space="preserve">LA RICA diferencia entre propiedad </w:t>
      </w:r>
      <w:r w:rsidR="00521F88" w:rsidRPr="0090334F">
        <w:rPr>
          <w:rFonts w:ascii="Arial" w:hAnsi="Arial" w:cs="Arial"/>
        </w:rPr>
        <w:t xml:space="preserve">no </w:t>
      </w:r>
      <w:r w:rsidR="00A9042F" w:rsidRPr="0090334F">
        <w:rPr>
          <w:rFonts w:ascii="Arial" w:hAnsi="Arial" w:cs="Arial"/>
        </w:rPr>
        <w:t xml:space="preserve">inscrita </w:t>
      </w:r>
      <w:r w:rsidR="00521F88" w:rsidRPr="0090334F">
        <w:rPr>
          <w:rFonts w:ascii="Arial" w:hAnsi="Arial" w:cs="Arial"/>
        </w:rPr>
        <w:t>(</w:t>
      </w:r>
      <w:r w:rsidR="00472A14" w:rsidRPr="0090334F">
        <w:rPr>
          <w:rFonts w:ascii="Arial" w:hAnsi="Arial" w:cs="Arial"/>
        </w:rPr>
        <w:t>s</w:t>
      </w:r>
      <w:r w:rsidR="00521F88" w:rsidRPr="0090334F">
        <w:rPr>
          <w:rFonts w:ascii="Arial" w:hAnsi="Arial" w:cs="Arial"/>
        </w:rPr>
        <w:t xml:space="preserve">e rige por el </w:t>
      </w:r>
      <w:proofErr w:type="spellStart"/>
      <w:r w:rsidR="00521F88" w:rsidRPr="0090334F">
        <w:rPr>
          <w:rFonts w:ascii="Arial" w:hAnsi="Arial" w:cs="Arial"/>
        </w:rPr>
        <w:t>Cc</w:t>
      </w:r>
      <w:proofErr w:type="spellEnd"/>
      <w:r w:rsidR="00521F88" w:rsidRPr="0090334F">
        <w:rPr>
          <w:rFonts w:ascii="Arial" w:hAnsi="Arial" w:cs="Arial"/>
        </w:rPr>
        <w:t xml:space="preserve"> y por tanto por el  título/modo)  e</w:t>
      </w:r>
      <w:r w:rsidR="00A9042F" w:rsidRPr="0090334F">
        <w:rPr>
          <w:rFonts w:ascii="Arial" w:hAnsi="Arial" w:cs="Arial"/>
        </w:rPr>
        <w:t xml:space="preserve"> inscrita</w:t>
      </w:r>
      <w:r w:rsidR="00521F88" w:rsidRPr="0090334F">
        <w:rPr>
          <w:rFonts w:ascii="Arial" w:hAnsi="Arial" w:cs="Arial"/>
        </w:rPr>
        <w:t xml:space="preserve"> (</w:t>
      </w:r>
      <w:r w:rsidR="00A9042F" w:rsidRPr="0090334F">
        <w:rPr>
          <w:rFonts w:ascii="Arial" w:hAnsi="Arial" w:cs="Arial"/>
        </w:rPr>
        <w:t>se rige por la LH, donde la inscripción ha sustituido a la tradición</w:t>
      </w:r>
      <w:r w:rsidR="00521F88" w:rsidRPr="0090334F">
        <w:rPr>
          <w:rFonts w:ascii="Arial" w:hAnsi="Arial" w:cs="Arial"/>
        </w:rPr>
        <w:t>)</w:t>
      </w:r>
      <w:r w:rsidR="00A9042F" w:rsidRPr="0090334F">
        <w:rPr>
          <w:rFonts w:ascii="Arial" w:hAnsi="Arial" w:cs="Arial"/>
        </w:rPr>
        <w:t xml:space="preserve">. </w:t>
      </w:r>
    </w:p>
    <w:p w:rsidR="00A9042F" w:rsidRPr="0090334F" w:rsidRDefault="0090334F" w:rsidP="00472A14">
      <w:pPr>
        <w:jc w:val="both"/>
        <w:rPr>
          <w:rFonts w:ascii="Arial" w:hAnsi="Arial" w:cs="Arial"/>
          <w:bCs/>
        </w:rPr>
      </w:pPr>
      <w:r w:rsidRPr="0090334F">
        <w:rPr>
          <w:rFonts w:ascii="Arial" w:hAnsi="Arial" w:cs="Arial"/>
          <w:b/>
        </w:rPr>
        <w:t xml:space="preserve">¥ </w:t>
      </w:r>
      <w:r w:rsidR="00A9042F" w:rsidRPr="0090334F">
        <w:rPr>
          <w:rFonts w:ascii="Arial" w:hAnsi="Arial" w:cs="Arial"/>
          <w:bCs/>
        </w:rPr>
        <w:t xml:space="preserve">Una </w:t>
      </w:r>
      <w:r w:rsidR="00472A14" w:rsidRPr="0090334F">
        <w:rPr>
          <w:rFonts w:ascii="Arial" w:hAnsi="Arial" w:cs="Arial"/>
          <w:bCs/>
        </w:rPr>
        <w:t>tercera</w:t>
      </w:r>
      <w:r w:rsidR="00A9042F" w:rsidRPr="0090334F">
        <w:rPr>
          <w:rFonts w:ascii="Arial" w:hAnsi="Arial" w:cs="Arial"/>
          <w:b/>
          <w:color w:val="1F497D"/>
        </w:rPr>
        <w:t xml:space="preserve"> </w:t>
      </w:r>
      <w:r w:rsidR="00A9042F" w:rsidRPr="0090334F">
        <w:rPr>
          <w:rFonts w:ascii="Arial" w:hAnsi="Arial" w:cs="Arial"/>
          <w:bCs/>
        </w:rPr>
        <w:t>teoría</w:t>
      </w:r>
      <w:r w:rsidR="00472A14" w:rsidRPr="0090334F">
        <w:rPr>
          <w:rFonts w:ascii="Arial" w:hAnsi="Arial" w:cs="Arial"/>
          <w:bCs/>
        </w:rPr>
        <w:t>, con apoyo en la EM LH 1861,</w:t>
      </w:r>
      <w:r w:rsidR="00A9042F" w:rsidRPr="0090334F">
        <w:rPr>
          <w:rFonts w:ascii="Arial" w:hAnsi="Arial" w:cs="Arial"/>
          <w:bCs/>
        </w:rPr>
        <w:t xml:space="preserve"> mantiene que la inscripción “ha superado” a la tradición:</w:t>
      </w:r>
    </w:p>
    <w:p w:rsidR="00A9042F" w:rsidRPr="0090334F" w:rsidRDefault="00A9042F" w:rsidP="00472A14">
      <w:pPr>
        <w:ind w:left="708"/>
        <w:jc w:val="both"/>
        <w:rPr>
          <w:rFonts w:ascii="Arial" w:hAnsi="Arial" w:cs="Arial"/>
          <w:bCs/>
        </w:rPr>
      </w:pPr>
      <w:r w:rsidRPr="0090334F">
        <w:rPr>
          <w:rFonts w:ascii="Arial" w:hAnsi="Arial" w:cs="Arial"/>
          <w:bCs/>
        </w:rPr>
        <w:t xml:space="preserve">La tradición es un modo de adquirir que tiene eficacia “inter partes”; </w:t>
      </w:r>
    </w:p>
    <w:p w:rsidR="00472A14" w:rsidRPr="0090334F" w:rsidRDefault="00A9042F" w:rsidP="00472A14">
      <w:pPr>
        <w:ind w:left="708"/>
        <w:jc w:val="both"/>
        <w:rPr>
          <w:rFonts w:ascii="Arial" w:hAnsi="Arial" w:cs="Arial"/>
          <w:bCs/>
        </w:rPr>
      </w:pPr>
      <w:r w:rsidRPr="0090334F">
        <w:rPr>
          <w:rFonts w:ascii="Arial" w:hAnsi="Arial" w:cs="Arial"/>
          <w:bCs/>
        </w:rPr>
        <w:t>Mientras que la inscripción</w:t>
      </w:r>
      <w:r w:rsidR="00472A14" w:rsidRPr="0090334F">
        <w:rPr>
          <w:rFonts w:ascii="Arial" w:hAnsi="Arial" w:cs="Arial"/>
          <w:bCs/>
        </w:rPr>
        <w:t xml:space="preserve"> (“conformadora”, en expresión de GARCÍA GARCÍA)</w:t>
      </w:r>
      <w:r w:rsidRPr="0090334F">
        <w:rPr>
          <w:rFonts w:ascii="Arial" w:hAnsi="Arial" w:cs="Arial"/>
          <w:bCs/>
        </w:rPr>
        <w:t xml:space="preserve"> es un </w:t>
      </w:r>
      <w:r w:rsidR="00472A14" w:rsidRPr="0090334F">
        <w:rPr>
          <w:rFonts w:ascii="Arial" w:hAnsi="Arial" w:cs="Arial"/>
          <w:bCs/>
        </w:rPr>
        <w:t xml:space="preserve">nuevo </w:t>
      </w:r>
      <w:r w:rsidRPr="0090334F">
        <w:rPr>
          <w:rFonts w:ascii="Arial" w:hAnsi="Arial" w:cs="Arial"/>
          <w:bCs/>
        </w:rPr>
        <w:t xml:space="preserve">modo de adquirir </w:t>
      </w:r>
      <w:r w:rsidR="00472A14" w:rsidRPr="0090334F">
        <w:rPr>
          <w:rFonts w:ascii="Arial" w:hAnsi="Arial" w:cs="Arial"/>
          <w:bCs/>
        </w:rPr>
        <w:t xml:space="preserve">(por “ministerio de la Ley”, posibilidad admitida en el art 609 </w:t>
      </w:r>
      <w:proofErr w:type="spellStart"/>
      <w:r w:rsidR="00472A14" w:rsidRPr="0090334F">
        <w:rPr>
          <w:rFonts w:ascii="Arial" w:hAnsi="Arial" w:cs="Arial"/>
          <w:bCs/>
        </w:rPr>
        <w:t>Cc</w:t>
      </w:r>
      <w:proofErr w:type="spellEnd"/>
      <w:r w:rsidR="00472A14" w:rsidRPr="0090334F">
        <w:rPr>
          <w:rFonts w:ascii="Arial" w:hAnsi="Arial" w:cs="Arial"/>
          <w:bCs/>
        </w:rPr>
        <w:t xml:space="preserve">) </w:t>
      </w:r>
      <w:r w:rsidRPr="0090334F">
        <w:rPr>
          <w:rFonts w:ascii="Arial" w:hAnsi="Arial" w:cs="Arial"/>
          <w:bCs/>
        </w:rPr>
        <w:t>que tiene eficacia “erga omnes”.</w:t>
      </w:r>
      <w:r w:rsidR="00472A14" w:rsidRPr="0090334F">
        <w:rPr>
          <w:rFonts w:ascii="Arial" w:hAnsi="Arial" w:cs="Arial"/>
          <w:bCs/>
        </w:rPr>
        <w:t xml:space="preserve"> </w:t>
      </w:r>
    </w:p>
    <w:p w:rsidR="00A9042F" w:rsidRPr="0090334F" w:rsidRDefault="00472A14" w:rsidP="000C0144">
      <w:pPr>
        <w:ind w:left="1416"/>
        <w:jc w:val="both"/>
        <w:rPr>
          <w:rFonts w:ascii="Arial" w:hAnsi="Arial" w:cs="Arial"/>
          <w:bCs/>
        </w:rPr>
      </w:pPr>
      <w:r w:rsidRPr="0090334F">
        <w:rPr>
          <w:rFonts w:ascii="Arial" w:hAnsi="Arial" w:cs="Arial"/>
          <w:bCs/>
        </w:rPr>
        <w:t>En esta línea, la polémica RDGRN 6 marzo 2012 firma que “un derecho de propiedad, al que se impidiese su acceso al Registro, no sería un verdadero derecho de propiedad”</w:t>
      </w:r>
    </w:p>
    <w:p w:rsidR="00472A14" w:rsidRPr="0090334F" w:rsidRDefault="00472A14" w:rsidP="000C0144">
      <w:pPr>
        <w:ind w:left="1416"/>
        <w:jc w:val="both"/>
        <w:rPr>
          <w:rFonts w:ascii="Arial" w:hAnsi="Arial" w:cs="Arial"/>
        </w:rPr>
      </w:pPr>
      <w:r w:rsidRPr="0090334F">
        <w:rPr>
          <w:rFonts w:ascii="Arial" w:hAnsi="Arial" w:cs="Arial"/>
          <w:bCs/>
        </w:rPr>
        <w:t>MARTÍNEZ-SANCHIZ critica esta postura: si el derecho real es absoluto</w:t>
      </w:r>
      <w:r w:rsidR="0090334F">
        <w:rPr>
          <w:rFonts w:ascii="Arial" w:hAnsi="Arial" w:cs="Arial"/>
          <w:bCs/>
        </w:rPr>
        <w:t xml:space="preserve"> </w:t>
      </w:r>
      <w:r w:rsidR="0090334F" w:rsidRPr="0090334F">
        <w:rPr>
          <w:rFonts w:ascii="Arial" w:hAnsi="Arial" w:cs="Arial"/>
          <w:bCs/>
          <w:i/>
          <w:sz w:val="18"/>
          <w:szCs w:val="18"/>
        </w:rPr>
        <w:t>(erga omnes)</w:t>
      </w:r>
      <w:r w:rsidRPr="0090334F">
        <w:rPr>
          <w:rFonts w:ascii="Arial" w:hAnsi="Arial" w:cs="Arial"/>
          <w:bCs/>
        </w:rPr>
        <w:t xml:space="preserve">, </w:t>
      </w:r>
      <w:r w:rsidR="00B417D8">
        <w:rPr>
          <w:rFonts w:ascii="Arial" w:hAnsi="Arial" w:cs="Arial"/>
          <w:bCs/>
        </w:rPr>
        <w:t>es contrario a su esencia</w:t>
      </w:r>
      <w:r w:rsidRPr="0090334F">
        <w:rPr>
          <w:rFonts w:ascii="Arial" w:hAnsi="Arial" w:cs="Arial"/>
          <w:bCs/>
        </w:rPr>
        <w:t xml:space="preserve"> que haya dos modalidades de transmisión: con tradición (sólo eficaz entre partes) y por </w:t>
      </w:r>
      <w:r w:rsidRPr="0090334F">
        <w:rPr>
          <w:rFonts w:ascii="Arial" w:hAnsi="Arial" w:cs="Arial"/>
        </w:rPr>
        <w:t>inscripción (eficaz erga omnes).</w:t>
      </w:r>
    </w:p>
    <w:p w:rsidR="00A9042F" w:rsidRPr="0090334F" w:rsidRDefault="0090334F" w:rsidP="000C0144">
      <w:pPr>
        <w:jc w:val="both"/>
        <w:rPr>
          <w:rFonts w:ascii="Arial" w:hAnsi="Arial" w:cs="Arial"/>
          <w:bCs/>
        </w:rPr>
      </w:pPr>
      <w:r w:rsidRPr="0090334F">
        <w:rPr>
          <w:rFonts w:ascii="Arial" w:hAnsi="Arial" w:cs="Arial"/>
          <w:b/>
        </w:rPr>
        <w:t xml:space="preserve">¥ </w:t>
      </w:r>
      <w:r w:rsidR="000C0144" w:rsidRPr="0090334F">
        <w:rPr>
          <w:rFonts w:ascii="Arial" w:hAnsi="Arial" w:cs="Arial"/>
          <w:bCs/>
        </w:rPr>
        <w:t>Pero l</w:t>
      </w:r>
      <w:r w:rsidR="00A9042F" w:rsidRPr="0090334F">
        <w:rPr>
          <w:rFonts w:ascii="Arial" w:hAnsi="Arial" w:cs="Arial"/>
          <w:bCs/>
        </w:rPr>
        <w:t>a teoría que goza de mayor predicamento en la doctrina</w:t>
      </w:r>
      <w:r w:rsidR="000C0144" w:rsidRPr="0090334F">
        <w:rPr>
          <w:rFonts w:ascii="Arial" w:hAnsi="Arial" w:cs="Arial"/>
          <w:bCs/>
        </w:rPr>
        <w:t xml:space="preserve"> civilista</w:t>
      </w:r>
      <w:r w:rsidR="00A9042F" w:rsidRPr="0090334F">
        <w:rPr>
          <w:rFonts w:ascii="Arial" w:hAnsi="Arial" w:cs="Arial"/>
          <w:bCs/>
        </w:rPr>
        <w:t xml:space="preserve"> es aquella que sostiene que la LH en nada ha alterado la teoría del título y el modo</w:t>
      </w:r>
      <w:r w:rsidR="000C0144" w:rsidRPr="0090334F">
        <w:rPr>
          <w:rFonts w:ascii="Arial" w:hAnsi="Arial" w:cs="Arial"/>
          <w:bCs/>
        </w:rPr>
        <w:t xml:space="preserve"> </w:t>
      </w:r>
      <w:r w:rsidR="00A9042F" w:rsidRPr="0090334F">
        <w:rPr>
          <w:rFonts w:ascii="Arial" w:hAnsi="Arial" w:cs="Arial"/>
          <w:bCs/>
        </w:rPr>
        <w:t>, ya que lo que se inscribe en el Registro es la traslación entera</w:t>
      </w:r>
      <w:r w:rsidR="000C0144" w:rsidRPr="0090334F">
        <w:rPr>
          <w:rFonts w:ascii="Arial" w:hAnsi="Arial" w:cs="Arial"/>
          <w:bCs/>
        </w:rPr>
        <w:t xml:space="preserve"> </w:t>
      </w:r>
      <w:r w:rsidR="00A9042F" w:rsidRPr="0090334F">
        <w:rPr>
          <w:rFonts w:ascii="Arial" w:hAnsi="Arial" w:cs="Arial"/>
          <w:bCs/>
        </w:rPr>
        <w:t xml:space="preserve"> (título</w:t>
      </w:r>
      <w:r w:rsidR="000C0144" w:rsidRPr="0090334F">
        <w:rPr>
          <w:rFonts w:ascii="Arial" w:hAnsi="Arial" w:cs="Arial"/>
          <w:bCs/>
        </w:rPr>
        <w:t>+</w:t>
      </w:r>
      <w:r w:rsidR="00A9042F" w:rsidRPr="0090334F">
        <w:rPr>
          <w:rFonts w:ascii="Arial" w:hAnsi="Arial" w:cs="Arial"/>
          <w:bCs/>
        </w:rPr>
        <w:t xml:space="preserve"> modo</w:t>
      </w:r>
      <w:r w:rsidR="000C0144" w:rsidRPr="0090334F">
        <w:rPr>
          <w:rFonts w:ascii="Arial" w:hAnsi="Arial" w:cs="Arial"/>
          <w:bCs/>
        </w:rPr>
        <w:t xml:space="preserve">; </w:t>
      </w:r>
      <w:r w:rsidR="00A9042F" w:rsidRPr="0090334F">
        <w:rPr>
          <w:rFonts w:ascii="Arial" w:hAnsi="Arial" w:cs="Arial"/>
          <w:bCs/>
        </w:rPr>
        <w:t xml:space="preserve">si </w:t>
      </w:r>
      <w:r w:rsidR="000C0144" w:rsidRPr="0090334F">
        <w:rPr>
          <w:rFonts w:ascii="Arial" w:hAnsi="Arial" w:cs="Arial"/>
          <w:bCs/>
        </w:rPr>
        <w:t xml:space="preserve">falta el </w:t>
      </w:r>
      <w:r w:rsidR="00A9042F" w:rsidRPr="0090334F">
        <w:rPr>
          <w:rFonts w:ascii="Arial" w:hAnsi="Arial" w:cs="Arial"/>
          <w:bCs/>
        </w:rPr>
        <w:t xml:space="preserve"> modo, la inscripción debe “denegarse”</w:t>
      </w:r>
      <w:r w:rsidR="000C0144" w:rsidRPr="0090334F">
        <w:rPr>
          <w:rFonts w:ascii="Arial" w:hAnsi="Arial" w:cs="Arial"/>
          <w:bCs/>
        </w:rPr>
        <w:t>)</w:t>
      </w:r>
      <w:r w:rsidR="00A9042F" w:rsidRPr="0090334F">
        <w:rPr>
          <w:rFonts w:ascii="Arial" w:hAnsi="Arial" w:cs="Arial"/>
          <w:bCs/>
        </w:rPr>
        <w:t xml:space="preserve">. </w:t>
      </w:r>
    </w:p>
    <w:p w:rsidR="00A86A11" w:rsidRPr="0090334F" w:rsidRDefault="000C0144" w:rsidP="00302CB3">
      <w:pPr>
        <w:ind w:left="708"/>
        <w:jc w:val="both"/>
        <w:rPr>
          <w:rFonts w:ascii="Arial" w:hAnsi="Arial" w:cs="Arial"/>
          <w:bCs/>
        </w:rPr>
      </w:pPr>
      <w:r w:rsidRPr="0090334F">
        <w:rPr>
          <w:rFonts w:ascii="Arial" w:hAnsi="Arial" w:cs="Arial"/>
          <w:bCs/>
        </w:rPr>
        <w:lastRenderedPageBreak/>
        <w:t>La inscripción nunca suple a la tradición (</w:t>
      </w:r>
      <w:r w:rsidR="00822BFF" w:rsidRPr="0090334F">
        <w:rPr>
          <w:rFonts w:ascii="Arial" w:hAnsi="Arial" w:cs="Arial"/>
          <w:bCs/>
        </w:rPr>
        <w:t>SANZ</w:t>
      </w:r>
      <w:r w:rsidR="00530669" w:rsidRPr="0090334F">
        <w:rPr>
          <w:rFonts w:ascii="Arial" w:hAnsi="Arial" w:cs="Arial"/>
          <w:bCs/>
        </w:rPr>
        <w:t xml:space="preserve"> FERNÁNDEZ</w:t>
      </w:r>
      <w:r w:rsidR="00822BFF" w:rsidRPr="0090334F">
        <w:rPr>
          <w:rFonts w:ascii="Arial" w:hAnsi="Arial" w:cs="Arial"/>
          <w:bCs/>
        </w:rPr>
        <w:t xml:space="preserve"> y LACRUZ</w:t>
      </w:r>
      <w:r w:rsidR="00A86A11" w:rsidRPr="0090334F">
        <w:rPr>
          <w:rFonts w:ascii="Arial" w:hAnsi="Arial" w:cs="Arial"/>
          <w:bCs/>
        </w:rPr>
        <w:t xml:space="preserve">, </w:t>
      </w:r>
      <w:r w:rsidR="00A86A11" w:rsidRPr="0090334F">
        <w:rPr>
          <w:rFonts w:ascii="Arial" w:hAnsi="Arial" w:cs="Arial"/>
          <w:b/>
          <w:bCs/>
        </w:rPr>
        <w:t>9 RH</w:t>
      </w:r>
      <w:r w:rsidR="00A86A11" w:rsidRPr="0090334F">
        <w:rPr>
          <w:rFonts w:ascii="Arial" w:hAnsi="Arial" w:cs="Arial"/>
          <w:bCs/>
        </w:rPr>
        <w:t>: NO son inscribibles la obligación de constituir, transmitir, modificar o extinguir el dominio o un derecho real sobre cualquier inmueble</w:t>
      </w:r>
      <w:r w:rsidRPr="0090334F">
        <w:rPr>
          <w:rFonts w:ascii="Arial" w:hAnsi="Arial" w:cs="Arial"/>
          <w:bCs/>
        </w:rPr>
        <w:t>)</w:t>
      </w:r>
      <w:r w:rsidR="00A86A11" w:rsidRPr="0090334F">
        <w:rPr>
          <w:rFonts w:ascii="Arial" w:hAnsi="Arial" w:cs="Arial"/>
          <w:bCs/>
        </w:rPr>
        <w:t xml:space="preserve">. </w:t>
      </w:r>
    </w:p>
    <w:p w:rsidR="00A86A11" w:rsidRPr="0090334F" w:rsidRDefault="00A86A11" w:rsidP="00302CB3">
      <w:pPr>
        <w:ind w:left="1416"/>
        <w:jc w:val="both"/>
        <w:rPr>
          <w:rFonts w:ascii="Arial" w:hAnsi="Arial" w:cs="Arial"/>
          <w:bCs/>
        </w:rPr>
      </w:pPr>
      <w:r w:rsidRPr="0090334F">
        <w:rPr>
          <w:rFonts w:ascii="Arial" w:hAnsi="Arial" w:cs="Arial"/>
          <w:bCs/>
        </w:rPr>
        <w:t>N</w:t>
      </w:r>
      <w:r w:rsidR="00822BFF" w:rsidRPr="0090334F">
        <w:rPr>
          <w:rFonts w:ascii="Arial" w:hAnsi="Arial" w:cs="Arial"/>
          <w:bCs/>
        </w:rPr>
        <w:t xml:space="preserve">i siquiera en el caso de </w:t>
      </w:r>
      <w:r w:rsidR="00822BFF" w:rsidRPr="00907494">
        <w:rPr>
          <w:rFonts w:ascii="Arial" w:hAnsi="Arial" w:cs="Arial"/>
          <w:b/>
          <w:bCs/>
        </w:rPr>
        <w:t>doble venta</w:t>
      </w:r>
      <w:r w:rsidR="00822BFF" w:rsidRPr="0090334F">
        <w:rPr>
          <w:rFonts w:ascii="Arial" w:hAnsi="Arial" w:cs="Arial"/>
          <w:bCs/>
        </w:rPr>
        <w:t xml:space="preserve"> del art. 1473 </w:t>
      </w:r>
      <w:proofErr w:type="spellStart"/>
      <w:r w:rsidR="00822BFF" w:rsidRPr="0090334F">
        <w:rPr>
          <w:rFonts w:ascii="Arial" w:hAnsi="Arial" w:cs="Arial"/>
          <w:bCs/>
        </w:rPr>
        <w:t>C</w:t>
      </w:r>
      <w:r w:rsidR="000C0144" w:rsidRPr="0090334F">
        <w:rPr>
          <w:rFonts w:ascii="Arial" w:hAnsi="Arial" w:cs="Arial"/>
          <w:bCs/>
        </w:rPr>
        <w:t>c</w:t>
      </w:r>
      <w:proofErr w:type="spellEnd"/>
      <w:r w:rsidRPr="0090334F">
        <w:rPr>
          <w:rFonts w:ascii="Arial" w:hAnsi="Arial" w:cs="Arial"/>
          <w:bCs/>
        </w:rPr>
        <w:t>:</w:t>
      </w:r>
      <w:r w:rsidR="000C0144" w:rsidRPr="0090334F">
        <w:rPr>
          <w:rFonts w:ascii="Arial" w:hAnsi="Arial" w:cs="Arial"/>
          <w:bCs/>
        </w:rPr>
        <w:t xml:space="preserve"> </w:t>
      </w:r>
    </w:p>
    <w:p w:rsidR="00A86A11" w:rsidRPr="0090334F" w:rsidRDefault="00A86A11" w:rsidP="00302CB3">
      <w:pPr>
        <w:ind w:left="2124"/>
        <w:jc w:val="both"/>
        <w:rPr>
          <w:rFonts w:ascii="Arial" w:hAnsi="Arial" w:cs="Arial"/>
          <w:bCs/>
        </w:rPr>
      </w:pPr>
      <w:r w:rsidRPr="0090334F">
        <w:rPr>
          <w:rFonts w:ascii="Arial" w:hAnsi="Arial" w:cs="Arial"/>
          <w:bCs/>
        </w:rPr>
        <w:t xml:space="preserve">1473 </w:t>
      </w:r>
      <w:r w:rsidR="00FB2196" w:rsidRPr="0090334F">
        <w:rPr>
          <w:rFonts w:ascii="Arial" w:hAnsi="Arial" w:cs="Arial"/>
          <w:bCs/>
        </w:rPr>
        <w:t xml:space="preserve">sería una mera aplicación práctica del principio de </w:t>
      </w:r>
      <w:proofErr w:type="spellStart"/>
      <w:r w:rsidR="00FB2196" w:rsidRPr="0090334F">
        <w:rPr>
          <w:rFonts w:ascii="Arial" w:hAnsi="Arial" w:cs="Arial"/>
          <w:bCs/>
        </w:rPr>
        <w:t>inoponibilidad</w:t>
      </w:r>
      <w:proofErr w:type="spellEnd"/>
      <w:r w:rsidR="000C0144" w:rsidRPr="0090334F">
        <w:rPr>
          <w:rFonts w:ascii="Arial" w:hAnsi="Arial" w:cs="Arial"/>
          <w:bCs/>
        </w:rPr>
        <w:t>,</w:t>
      </w:r>
      <w:r w:rsidR="00FB2196" w:rsidRPr="0090334F">
        <w:rPr>
          <w:rFonts w:ascii="Arial" w:hAnsi="Arial" w:cs="Arial"/>
          <w:bCs/>
        </w:rPr>
        <w:t xml:space="preserve"> 32 LH y fe pública</w:t>
      </w:r>
      <w:r w:rsidR="000C0144" w:rsidRPr="0090334F">
        <w:rPr>
          <w:rFonts w:ascii="Arial" w:hAnsi="Arial" w:cs="Arial"/>
          <w:bCs/>
        </w:rPr>
        <w:t>,</w:t>
      </w:r>
      <w:r w:rsidR="00FB2196" w:rsidRPr="0090334F">
        <w:rPr>
          <w:rFonts w:ascii="Arial" w:hAnsi="Arial" w:cs="Arial"/>
          <w:bCs/>
        </w:rPr>
        <w:t xml:space="preserve"> 34 LH</w:t>
      </w:r>
    </w:p>
    <w:p w:rsidR="000C0144" w:rsidRPr="0090334F" w:rsidRDefault="000C0144" w:rsidP="00302CB3">
      <w:pPr>
        <w:ind w:left="2124"/>
        <w:jc w:val="both"/>
        <w:rPr>
          <w:rFonts w:ascii="Arial" w:hAnsi="Arial" w:cs="Arial"/>
          <w:bCs/>
        </w:rPr>
      </w:pPr>
      <w:r w:rsidRPr="0090334F">
        <w:rPr>
          <w:rFonts w:ascii="Arial" w:hAnsi="Arial" w:cs="Arial"/>
          <w:bCs/>
        </w:rPr>
        <w:t xml:space="preserve">Además, como dice ROCA SASTRE, siempre habrá tradición instrumental (1462.2 </w:t>
      </w:r>
      <w:proofErr w:type="spellStart"/>
      <w:r w:rsidRPr="0090334F">
        <w:rPr>
          <w:rFonts w:ascii="Arial" w:hAnsi="Arial" w:cs="Arial"/>
          <w:bCs/>
        </w:rPr>
        <w:t>Cc</w:t>
      </w:r>
      <w:proofErr w:type="spellEnd"/>
      <w:r w:rsidRPr="0090334F">
        <w:rPr>
          <w:rFonts w:ascii="Arial" w:hAnsi="Arial" w:cs="Arial"/>
          <w:bCs/>
        </w:rPr>
        <w:t>, ex art. 3 LH).</w:t>
      </w:r>
    </w:p>
    <w:p w:rsidR="00A86A11" w:rsidRPr="0090334F" w:rsidRDefault="00A86A11" w:rsidP="00302CB3">
      <w:pPr>
        <w:ind w:left="1416"/>
        <w:jc w:val="both"/>
        <w:rPr>
          <w:rFonts w:ascii="Arial" w:hAnsi="Arial" w:cs="Arial"/>
          <w:bCs/>
        </w:rPr>
      </w:pPr>
      <w:r w:rsidRPr="0090334F">
        <w:rPr>
          <w:rFonts w:ascii="Arial" w:hAnsi="Arial" w:cs="Arial"/>
          <w:bCs/>
        </w:rPr>
        <w:t xml:space="preserve">La cuestión podría plantearse acaso en la </w:t>
      </w:r>
      <w:r w:rsidRPr="00907494">
        <w:rPr>
          <w:rFonts w:ascii="Arial" w:hAnsi="Arial" w:cs="Arial"/>
          <w:b/>
          <w:bCs/>
        </w:rPr>
        <w:t>hipoteca</w:t>
      </w:r>
      <w:r w:rsidRPr="0090334F">
        <w:rPr>
          <w:rFonts w:ascii="Arial" w:hAnsi="Arial" w:cs="Arial"/>
          <w:bCs/>
        </w:rPr>
        <w:t xml:space="preserve"> (porque su inscripción es constitutiva, 1875 </w:t>
      </w:r>
      <w:proofErr w:type="spellStart"/>
      <w:r w:rsidRPr="0090334F">
        <w:rPr>
          <w:rFonts w:ascii="Arial" w:hAnsi="Arial" w:cs="Arial"/>
          <w:bCs/>
        </w:rPr>
        <w:t>Cc</w:t>
      </w:r>
      <w:proofErr w:type="spellEnd"/>
      <w:r w:rsidR="0090334F" w:rsidRPr="0090334F">
        <w:rPr>
          <w:rFonts w:ascii="Arial" w:hAnsi="Arial" w:cs="Arial"/>
          <w:bCs/>
        </w:rPr>
        <w:t>; según TS,  la escritura pública de constitución de hipoteca será el título y la inscripción el modo</w:t>
      </w:r>
      <w:r w:rsidRPr="0090334F">
        <w:rPr>
          <w:rFonts w:ascii="Arial" w:hAnsi="Arial" w:cs="Arial"/>
          <w:bCs/>
        </w:rPr>
        <w:t xml:space="preserve">) o en las </w:t>
      </w:r>
      <w:r w:rsidRPr="00907494">
        <w:rPr>
          <w:rFonts w:ascii="Arial" w:hAnsi="Arial" w:cs="Arial"/>
          <w:b/>
          <w:bCs/>
        </w:rPr>
        <w:t>servidumbres negativas</w:t>
      </w:r>
      <w:r w:rsidR="00E46CBC" w:rsidRPr="0090334F">
        <w:rPr>
          <w:rFonts w:ascii="Arial" w:hAnsi="Arial" w:cs="Arial"/>
          <w:bCs/>
        </w:rPr>
        <w:t xml:space="preserve"> (no susceptibles de posesión)</w:t>
      </w:r>
      <w:r w:rsidRPr="0090334F">
        <w:rPr>
          <w:rFonts w:ascii="Arial" w:hAnsi="Arial" w:cs="Arial"/>
          <w:bCs/>
        </w:rPr>
        <w:t xml:space="preserve">, sin ser extrapolada. </w:t>
      </w:r>
    </w:p>
    <w:p w:rsidR="002A0A33" w:rsidRPr="0090334F" w:rsidRDefault="00302CB3" w:rsidP="00302CB3">
      <w:pPr>
        <w:spacing w:line="240" w:lineRule="auto"/>
        <w:ind w:left="708"/>
        <w:jc w:val="both"/>
        <w:rPr>
          <w:rFonts w:ascii="Arial" w:hAnsi="Arial" w:cs="Arial"/>
          <w:lang w:val="es-ES_tradnl"/>
        </w:rPr>
      </w:pPr>
      <w:r>
        <w:rPr>
          <w:rFonts w:ascii="Arial" w:hAnsi="Arial" w:cs="Arial"/>
          <w:lang w:val="es-ES_tradnl"/>
        </w:rPr>
        <w:t>Pero</w:t>
      </w:r>
      <w:r w:rsidR="00E46CBC" w:rsidRPr="0090334F">
        <w:rPr>
          <w:rFonts w:ascii="Arial" w:hAnsi="Arial" w:cs="Arial"/>
          <w:lang w:val="es-ES_tradnl"/>
        </w:rPr>
        <w:t xml:space="preserve"> </w:t>
      </w:r>
      <w:r w:rsidR="002A0A33" w:rsidRPr="0090334F">
        <w:rPr>
          <w:rFonts w:ascii="Arial" w:hAnsi="Arial" w:cs="Arial"/>
          <w:lang w:val="es-ES_tradnl"/>
        </w:rPr>
        <w:t>el propietario que no inscrib</w:t>
      </w:r>
      <w:r w:rsidR="00E46CBC" w:rsidRPr="0090334F">
        <w:rPr>
          <w:rFonts w:ascii="Arial" w:hAnsi="Arial" w:cs="Arial"/>
          <w:lang w:val="es-ES_tradnl"/>
        </w:rPr>
        <w:t>a</w:t>
      </w:r>
      <w:r w:rsidR="002A0A33" w:rsidRPr="0090334F">
        <w:rPr>
          <w:rFonts w:ascii="Arial" w:hAnsi="Arial" w:cs="Arial"/>
          <w:lang w:val="es-ES_tradnl"/>
        </w:rPr>
        <w:t xml:space="preserve"> su adquisición </w:t>
      </w:r>
      <w:r w:rsidR="00E46CBC" w:rsidRPr="0090334F">
        <w:rPr>
          <w:rFonts w:ascii="Arial" w:hAnsi="Arial" w:cs="Arial"/>
          <w:lang w:val="es-ES_tradnl"/>
        </w:rPr>
        <w:t xml:space="preserve">arriesgará </w:t>
      </w:r>
      <w:r w:rsidR="002A0A33" w:rsidRPr="0090334F">
        <w:rPr>
          <w:rFonts w:ascii="Arial" w:hAnsi="Arial" w:cs="Arial"/>
          <w:lang w:val="es-ES_tradnl"/>
        </w:rPr>
        <w:t xml:space="preserve">su </w:t>
      </w:r>
      <w:r w:rsidR="00E46CBC" w:rsidRPr="0090334F">
        <w:rPr>
          <w:rFonts w:ascii="Arial" w:hAnsi="Arial" w:cs="Arial"/>
          <w:lang w:val="es-ES_tradnl"/>
        </w:rPr>
        <w:t>dominio</w:t>
      </w:r>
      <w:r w:rsidR="002A0A33" w:rsidRPr="0090334F">
        <w:rPr>
          <w:rFonts w:ascii="Arial" w:hAnsi="Arial" w:cs="Arial"/>
          <w:lang w:val="es-ES_tradnl"/>
        </w:rPr>
        <w:t xml:space="preserve"> porque no será oponible a</w:t>
      </w:r>
      <w:r w:rsidR="00E46CBC" w:rsidRPr="0090334F">
        <w:rPr>
          <w:rFonts w:ascii="Arial" w:hAnsi="Arial" w:cs="Arial"/>
          <w:lang w:val="es-ES_tradnl"/>
        </w:rPr>
        <w:t xml:space="preserve"> </w:t>
      </w:r>
      <w:r w:rsidR="002A0A33" w:rsidRPr="0090334F">
        <w:rPr>
          <w:rFonts w:ascii="Arial" w:hAnsi="Arial" w:cs="Arial"/>
          <w:lang w:val="es-ES_tradnl"/>
        </w:rPr>
        <w:t>tercero hipotecario (arts. 1473 CC, 32 LH y 34 LH).</w:t>
      </w:r>
      <w:r w:rsidR="00E46CBC" w:rsidRPr="0090334F">
        <w:rPr>
          <w:rFonts w:ascii="Arial" w:hAnsi="Arial" w:cs="Arial"/>
          <w:lang w:val="es-ES_tradnl"/>
        </w:rPr>
        <w:t xml:space="preserve"> Dos matices:</w:t>
      </w:r>
    </w:p>
    <w:p w:rsidR="000E0A7A" w:rsidRPr="0090334F" w:rsidRDefault="002A0A33" w:rsidP="00302CB3">
      <w:pPr>
        <w:spacing w:line="240" w:lineRule="auto"/>
        <w:ind w:left="1128"/>
        <w:jc w:val="both"/>
        <w:rPr>
          <w:rFonts w:ascii="Arial" w:hAnsi="Arial" w:cs="Arial"/>
          <w:lang w:val="es-ES_tradnl"/>
        </w:rPr>
      </w:pPr>
      <w:r w:rsidRPr="0090334F">
        <w:rPr>
          <w:rFonts w:ascii="Arial" w:hAnsi="Arial" w:cs="Arial"/>
          <w:b/>
          <w:lang w:val="es-ES_tradnl"/>
        </w:rPr>
        <w:t>1º</w:t>
      </w:r>
      <w:r w:rsidRPr="0090334F">
        <w:rPr>
          <w:rFonts w:ascii="Arial" w:hAnsi="Arial" w:cs="Arial"/>
          <w:lang w:val="es-ES_tradnl"/>
        </w:rPr>
        <w:t xml:space="preserve"> </w:t>
      </w:r>
      <w:r w:rsidR="00E46CBC" w:rsidRPr="0090334F">
        <w:rPr>
          <w:rFonts w:ascii="Arial" w:hAnsi="Arial" w:cs="Arial"/>
          <w:lang w:val="es-ES_tradnl"/>
        </w:rPr>
        <w:t xml:space="preserve">Una corriente jurisprudencial “agranda” dicho riesgo. Las SSTS </w:t>
      </w:r>
      <w:r w:rsidR="00530669" w:rsidRPr="0090334F">
        <w:rPr>
          <w:rFonts w:ascii="Arial" w:hAnsi="Arial" w:cs="Arial"/>
          <w:lang w:val="es-ES_tradnl"/>
        </w:rPr>
        <w:t>5 de marzo y 9 de septiembre 2007</w:t>
      </w:r>
      <w:r w:rsidR="00E46CBC" w:rsidRPr="0090334F">
        <w:rPr>
          <w:rFonts w:ascii="Arial" w:hAnsi="Arial" w:cs="Arial"/>
          <w:lang w:val="es-ES_tradnl"/>
        </w:rPr>
        <w:t>,</w:t>
      </w:r>
      <w:r w:rsidRPr="0090334F">
        <w:rPr>
          <w:rFonts w:ascii="Arial" w:hAnsi="Arial" w:cs="Arial"/>
          <w:lang w:val="es-ES_tradnl"/>
        </w:rPr>
        <w:t xml:space="preserve"> interpreta</w:t>
      </w:r>
      <w:r w:rsidR="00E46CBC" w:rsidRPr="0090334F">
        <w:rPr>
          <w:rFonts w:ascii="Arial" w:hAnsi="Arial" w:cs="Arial"/>
          <w:lang w:val="es-ES_tradnl"/>
        </w:rPr>
        <w:t>ndo</w:t>
      </w:r>
      <w:r w:rsidRPr="0090334F">
        <w:rPr>
          <w:rFonts w:ascii="Arial" w:hAnsi="Arial" w:cs="Arial"/>
          <w:lang w:val="es-ES_tradnl"/>
        </w:rPr>
        <w:t xml:space="preserve"> el art. 1473 </w:t>
      </w:r>
      <w:proofErr w:type="spellStart"/>
      <w:r w:rsidRPr="0090334F">
        <w:rPr>
          <w:rFonts w:ascii="Arial" w:hAnsi="Arial" w:cs="Arial"/>
          <w:lang w:val="es-ES_tradnl"/>
        </w:rPr>
        <w:t>C</w:t>
      </w:r>
      <w:r w:rsidR="00E46CBC" w:rsidRPr="0090334F">
        <w:rPr>
          <w:rFonts w:ascii="Arial" w:hAnsi="Arial" w:cs="Arial"/>
          <w:lang w:val="es-ES_tradnl"/>
        </w:rPr>
        <w:t>c</w:t>
      </w:r>
      <w:proofErr w:type="spellEnd"/>
      <w:r w:rsidR="00E46CBC" w:rsidRPr="0090334F">
        <w:rPr>
          <w:rFonts w:ascii="Arial" w:hAnsi="Arial" w:cs="Arial"/>
          <w:lang w:val="es-ES_tradnl"/>
        </w:rPr>
        <w:t>,</w:t>
      </w:r>
      <w:r w:rsidRPr="0090334F">
        <w:rPr>
          <w:rFonts w:ascii="Arial" w:hAnsi="Arial" w:cs="Arial"/>
          <w:lang w:val="es-ES_tradnl"/>
        </w:rPr>
        <w:t xml:space="preserve"> considera</w:t>
      </w:r>
      <w:r w:rsidR="00302CB3">
        <w:rPr>
          <w:rFonts w:ascii="Arial" w:hAnsi="Arial" w:cs="Arial"/>
          <w:lang w:val="es-ES_tradnl"/>
        </w:rPr>
        <w:t>n</w:t>
      </w:r>
      <w:r w:rsidRPr="0090334F">
        <w:rPr>
          <w:rFonts w:ascii="Arial" w:hAnsi="Arial" w:cs="Arial"/>
          <w:lang w:val="es-ES_tradnl"/>
        </w:rPr>
        <w:t xml:space="preserve"> tercero hipotecario</w:t>
      </w:r>
      <w:r w:rsidR="000E0A7A" w:rsidRPr="0090334F">
        <w:rPr>
          <w:rFonts w:ascii="Arial" w:hAnsi="Arial" w:cs="Arial"/>
          <w:lang w:val="es-ES_tradnl"/>
        </w:rPr>
        <w:t xml:space="preserve"> (</w:t>
      </w:r>
      <w:r w:rsidR="00302CB3">
        <w:rPr>
          <w:rFonts w:ascii="Arial" w:hAnsi="Arial" w:cs="Arial"/>
          <w:lang w:val="es-ES_tradnl"/>
        </w:rPr>
        <w:t>a</w:t>
      </w:r>
      <w:r w:rsidRPr="0090334F">
        <w:rPr>
          <w:rFonts w:ascii="Arial" w:hAnsi="Arial" w:cs="Arial"/>
          <w:lang w:val="es-ES_tradnl"/>
        </w:rPr>
        <w:t xml:space="preserve"> qu</w:t>
      </w:r>
      <w:r w:rsidR="00302CB3">
        <w:rPr>
          <w:rFonts w:ascii="Arial" w:hAnsi="Arial" w:cs="Arial"/>
          <w:lang w:val="es-ES_tradnl"/>
        </w:rPr>
        <w:t>ien</w:t>
      </w:r>
      <w:r w:rsidRPr="0090334F">
        <w:rPr>
          <w:rFonts w:ascii="Arial" w:hAnsi="Arial" w:cs="Arial"/>
          <w:lang w:val="es-ES_tradnl"/>
        </w:rPr>
        <w:t xml:space="preserve"> no será oponible la propiedad no inscrit</w:t>
      </w:r>
      <w:r w:rsidR="000E0A7A" w:rsidRPr="0090334F">
        <w:rPr>
          <w:rFonts w:ascii="Arial" w:hAnsi="Arial" w:cs="Arial"/>
          <w:lang w:val="es-ES_tradnl"/>
        </w:rPr>
        <w:t>a)</w:t>
      </w:r>
      <w:r w:rsidRPr="0090334F">
        <w:rPr>
          <w:rFonts w:ascii="Arial" w:hAnsi="Arial" w:cs="Arial"/>
          <w:lang w:val="es-ES_tradnl"/>
        </w:rPr>
        <w:t xml:space="preserve"> no sólo al del 34 LH sino también al </w:t>
      </w:r>
      <w:r w:rsidR="000E0A7A" w:rsidRPr="00302CB3">
        <w:rPr>
          <w:rFonts w:ascii="Arial" w:hAnsi="Arial" w:cs="Arial"/>
          <w:i/>
          <w:lang w:val="es-ES_tradnl"/>
        </w:rPr>
        <w:t>INMATRICULANTE</w:t>
      </w:r>
      <w:r w:rsidRPr="0090334F">
        <w:rPr>
          <w:rFonts w:ascii="Arial" w:hAnsi="Arial" w:cs="Arial"/>
          <w:lang w:val="es-ES_tradnl"/>
        </w:rPr>
        <w:t xml:space="preserve"> del art. 32 LH</w:t>
      </w:r>
      <w:r w:rsidR="000E0A7A" w:rsidRPr="0090334F">
        <w:rPr>
          <w:rFonts w:ascii="Arial" w:hAnsi="Arial" w:cs="Arial"/>
          <w:lang w:val="es-ES_tradnl"/>
        </w:rPr>
        <w:t xml:space="preserve"> (</w:t>
      </w:r>
      <w:r w:rsidRPr="0090334F">
        <w:rPr>
          <w:rFonts w:ascii="Arial" w:hAnsi="Arial" w:cs="Arial"/>
          <w:lang w:val="es-ES_tradnl"/>
        </w:rPr>
        <w:t>siempre que hayan pasado dos años desde la inmatriculación</w:t>
      </w:r>
      <w:r w:rsidR="000E0A7A" w:rsidRPr="0090334F">
        <w:rPr>
          <w:rFonts w:ascii="Arial" w:hAnsi="Arial" w:cs="Arial"/>
          <w:lang w:val="es-ES_tradnl"/>
        </w:rPr>
        <w:t>)</w:t>
      </w:r>
      <w:r w:rsidRPr="0090334F">
        <w:rPr>
          <w:rFonts w:ascii="Arial" w:hAnsi="Arial" w:cs="Arial"/>
          <w:lang w:val="es-ES_tradnl"/>
        </w:rPr>
        <w:t>.</w:t>
      </w:r>
    </w:p>
    <w:p w:rsidR="00EB3B4D" w:rsidRPr="0090334F" w:rsidRDefault="00530669" w:rsidP="00302CB3">
      <w:pPr>
        <w:spacing w:line="240" w:lineRule="auto"/>
        <w:ind w:left="1416"/>
        <w:jc w:val="both"/>
        <w:rPr>
          <w:rFonts w:ascii="Arial" w:hAnsi="Arial" w:cs="Arial"/>
          <w:lang w:val="es-ES_tradnl"/>
        </w:rPr>
      </w:pPr>
      <w:r w:rsidRPr="0090334F">
        <w:rPr>
          <w:rFonts w:ascii="Arial" w:hAnsi="Arial" w:cs="Arial"/>
          <w:lang w:val="es-ES_tradnl"/>
        </w:rPr>
        <w:t>A</w:t>
      </w:r>
      <w:r w:rsidR="000E0A7A" w:rsidRPr="0090334F">
        <w:rPr>
          <w:rFonts w:ascii="Arial" w:hAnsi="Arial" w:cs="Arial"/>
          <w:lang w:val="es-ES_tradnl"/>
        </w:rPr>
        <w:t>dvertencia</w:t>
      </w:r>
      <w:r w:rsidR="00302CB3">
        <w:rPr>
          <w:rFonts w:ascii="Arial" w:hAnsi="Arial" w:cs="Arial"/>
          <w:lang w:val="es-ES_tradnl"/>
        </w:rPr>
        <w:t>.</w:t>
      </w:r>
      <w:r w:rsidR="000E0A7A" w:rsidRPr="0090334F">
        <w:rPr>
          <w:rFonts w:ascii="Arial" w:hAnsi="Arial" w:cs="Arial"/>
          <w:lang w:val="es-ES_tradnl"/>
        </w:rPr>
        <w:t xml:space="preserve"> </w:t>
      </w:r>
      <w:r w:rsidR="00E46CBC" w:rsidRPr="0090334F">
        <w:rPr>
          <w:rFonts w:ascii="Arial" w:hAnsi="Arial" w:cs="Arial"/>
          <w:lang w:val="es-ES_tradnl"/>
        </w:rPr>
        <w:t>E</w:t>
      </w:r>
      <w:r w:rsidRPr="0090334F">
        <w:rPr>
          <w:rFonts w:ascii="Arial" w:hAnsi="Arial" w:cs="Arial"/>
          <w:lang w:val="es-ES_tradnl"/>
        </w:rPr>
        <w:t xml:space="preserve">l legislador ha </w:t>
      </w:r>
      <w:r w:rsidR="00907494">
        <w:rPr>
          <w:rFonts w:ascii="Arial" w:hAnsi="Arial" w:cs="Arial"/>
          <w:lang w:val="es-ES_tradnl"/>
        </w:rPr>
        <w:t>reaccionado contra</w:t>
      </w:r>
      <w:r w:rsidRPr="0090334F">
        <w:rPr>
          <w:rFonts w:ascii="Arial" w:hAnsi="Arial" w:cs="Arial"/>
          <w:lang w:val="es-ES_tradnl"/>
        </w:rPr>
        <w:t xml:space="preserve"> est</w:t>
      </w:r>
      <w:r w:rsidR="00907494">
        <w:rPr>
          <w:rFonts w:ascii="Arial" w:hAnsi="Arial" w:cs="Arial"/>
          <w:lang w:val="es-ES_tradnl"/>
        </w:rPr>
        <w:t>a</w:t>
      </w:r>
      <w:r w:rsidRPr="0090334F">
        <w:rPr>
          <w:rFonts w:ascii="Arial" w:hAnsi="Arial" w:cs="Arial"/>
          <w:lang w:val="es-ES_tradnl"/>
        </w:rPr>
        <w:t xml:space="preserve"> c</w:t>
      </w:r>
      <w:r w:rsidR="00907494">
        <w:rPr>
          <w:rFonts w:ascii="Arial" w:hAnsi="Arial" w:cs="Arial"/>
          <w:lang w:val="es-ES_tradnl"/>
        </w:rPr>
        <w:t>orriente</w:t>
      </w:r>
      <w:r w:rsidRPr="0090334F">
        <w:rPr>
          <w:rFonts w:ascii="Arial" w:hAnsi="Arial" w:cs="Arial"/>
          <w:lang w:val="es-ES_tradnl"/>
        </w:rPr>
        <w:t xml:space="preserve"> </w:t>
      </w:r>
      <w:r w:rsidR="00E46CBC" w:rsidRPr="0090334F">
        <w:rPr>
          <w:rFonts w:ascii="Arial" w:hAnsi="Arial" w:cs="Arial"/>
          <w:lang w:val="es-ES_tradnl"/>
        </w:rPr>
        <w:t>en</w:t>
      </w:r>
      <w:r w:rsidRPr="0090334F">
        <w:rPr>
          <w:rFonts w:ascii="Arial" w:hAnsi="Arial" w:cs="Arial"/>
          <w:lang w:val="es-ES_tradnl"/>
        </w:rPr>
        <w:t xml:space="preserve"> la reforma del art. 207 LH por </w:t>
      </w:r>
      <w:r w:rsidR="00EB3B4D" w:rsidRPr="0090334F">
        <w:rPr>
          <w:rFonts w:ascii="Arial" w:hAnsi="Arial" w:cs="Arial"/>
          <w:lang w:val="es-ES_tradnl"/>
        </w:rPr>
        <w:t>ley 13/2015</w:t>
      </w:r>
      <w:r w:rsidR="00907494">
        <w:rPr>
          <w:rFonts w:ascii="Arial" w:hAnsi="Arial" w:cs="Arial"/>
          <w:lang w:val="es-ES_tradnl"/>
        </w:rPr>
        <w:t xml:space="preserve">, </w:t>
      </w:r>
      <w:r w:rsidR="00907494" w:rsidRPr="0090334F">
        <w:rPr>
          <w:rFonts w:ascii="Arial" w:hAnsi="Arial" w:cs="Arial"/>
          <w:lang w:val="es-ES_tradnl"/>
        </w:rPr>
        <w:t>inclinándose decididamente por la tesis monista</w:t>
      </w:r>
      <w:r w:rsidR="00302CB3">
        <w:rPr>
          <w:rFonts w:ascii="Arial" w:hAnsi="Arial" w:cs="Arial"/>
          <w:lang w:val="es-ES_tradnl"/>
        </w:rPr>
        <w:t>:</w:t>
      </w:r>
      <w:r w:rsidR="00E46CBC" w:rsidRPr="0090334F">
        <w:rPr>
          <w:rFonts w:ascii="Arial" w:hAnsi="Arial" w:cs="Arial"/>
          <w:lang w:val="es-ES_tradnl"/>
        </w:rPr>
        <w:t xml:space="preserve"> el </w:t>
      </w:r>
      <w:proofErr w:type="spellStart"/>
      <w:r w:rsidR="00E46CBC" w:rsidRPr="0090334F">
        <w:rPr>
          <w:rFonts w:ascii="Arial" w:hAnsi="Arial" w:cs="Arial"/>
          <w:lang w:val="es-ES_tradnl"/>
        </w:rPr>
        <w:t>inmatriculante</w:t>
      </w:r>
      <w:proofErr w:type="spellEnd"/>
      <w:r w:rsidR="00E46CBC" w:rsidRPr="0090334F">
        <w:rPr>
          <w:rFonts w:ascii="Arial" w:hAnsi="Arial" w:cs="Arial"/>
          <w:lang w:val="es-ES_tradnl"/>
        </w:rPr>
        <w:t xml:space="preserve"> </w:t>
      </w:r>
      <w:r w:rsidR="00E46CBC" w:rsidRPr="00302CB3">
        <w:rPr>
          <w:rFonts w:ascii="Arial" w:hAnsi="Arial" w:cs="Arial"/>
          <w:i/>
          <w:lang w:val="es-ES_tradnl"/>
        </w:rPr>
        <w:t>ahora</w:t>
      </w:r>
      <w:r w:rsidR="00E46CBC" w:rsidRPr="0090334F">
        <w:rPr>
          <w:rFonts w:ascii="Arial" w:hAnsi="Arial" w:cs="Arial"/>
          <w:lang w:val="es-ES_tradnl"/>
        </w:rPr>
        <w:t xml:space="preserve"> NUNCA estará protegido</w:t>
      </w:r>
    </w:p>
    <w:p w:rsidR="0090334F" w:rsidRPr="0090334F" w:rsidRDefault="002A0A33" w:rsidP="00302CB3">
      <w:pPr>
        <w:spacing w:line="240" w:lineRule="auto"/>
        <w:ind w:left="1128"/>
        <w:jc w:val="both"/>
        <w:rPr>
          <w:rFonts w:ascii="Arial" w:hAnsi="Arial" w:cs="Arial"/>
          <w:lang w:val="es-ES_tradnl"/>
        </w:rPr>
      </w:pPr>
      <w:r w:rsidRPr="0090334F">
        <w:rPr>
          <w:rFonts w:ascii="Arial" w:hAnsi="Arial" w:cs="Arial"/>
          <w:b/>
          <w:lang w:val="es-ES_tradnl"/>
        </w:rPr>
        <w:t>2º</w:t>
      </w:r>
      <w:r w:rsidRPr="0090334F">
        <w:rPr>
          <w:rFonts w:ascii="Arial" w:hAnsi="Arial" w:cs="Arial"/>
          <w:lang w:val="es-ES_tradnl"/>
        </w:rPr>
        <w:t xml:space="preserve"> </w:t>
      </w:r>
      <w:r w:rsidR="00E46CBC" w:rsidRPr="0090334F">
        <w:rPr>
          <w:rFonts w:ascii="Arial" w:hAnsi="Arial" w:cs="Arial"/>
          <w:lang w:val="es-ES_tradnl"/>
        </w:rPr>
        <w:t>Al tiempo, la jurisprudencia “minora” dicho riesgo,</w:t>
      </w:r>
      <w:r w:rsidRPr="0090334F">
        <w:rPr>
          <w:rFonts w:ascii="Arial" w:hAnsi="Arial" w:cs="Arial"/>
          <w:lang w:val="es-ES_tradnl"/>
        </w:rPr>
        <w:t xml:space="preserve"> al </w:t>
      </w:r>
      <w:r w:rsidR="00E46CBC" w:rsidRPr="0090334F">
        <w:rPr>
          <w:rFonts w:ascii="Arial" w:hAnsi="Arial" w:cs="Arial"/>
          <w:lang w:val="es-ES_tradnl"/>
        </w:rPr>
        <w:t>requerir a</w:t>
      </w:r>
      <w:r w:rsidRPr="0090334F">
        <w:rPr>
          <w:rFonts w:ascii="Arial" w:hAnsi="Arial" w:cs="Arial"/>
          <w:lang w:val="es-ES_tradnl"/>
        </w:rPr>
        <w:t xml:space="preserve">l tercero hipotecario </w:t>
      </w:r>
      <w:r w:rsidR="000E0A7A" w:rsidRPr="0090334F">
        <w:rPr>
          <w:rFonts w:ascii="Arial" w:hAnsi="Arial" w:cs="Arial"/>
          <w:lang w:val="es-ES_tradnl"/>
        </w:rPr>
        <w:t>BUENA FE</w:t>
      </w:r>
      <w:r w:rsidRPr="0090334F">
        <w:rPr>
          <w:rFonts w:ascii="Arial" w:hAnsi="Arial" w:cs="Arial"/>
          <w:lang w:val="es-ES_tradnl"/>
        </w:rPr>
        <w:t xml:space="preserve"> </w:t>
      </w:r>
      <w:r w:rsidR="00E46CBC" w:rsidRPr="0090334F">
        <w:rPr>
          <w:rFonts w:ascii="Arial" w:hAnsi="Arial" w:cs="Arial"/>
          <w:lang w:val="es-ES_tradnl"/>
        </w:rPr>
        <w:t>“</w:t>
      </w:r>
      <w:r w:rsidRPr="0090334F">
        <w:rPr>
          <w:rFonts w:ascii="Arial" w:hAnsi="Arial" w:cs="Arial"/>
          <w:lang w:val="es-ES_tradnl"/>
        </w:rPr>
        <w:t>ética</w:t>
      </w:r>
      <w:r w:rsidR="00E46CBC" w:rsidRPr="0090334F">
        <w:rPr>
          <w:rFonts w:ascii="Arial" w:hAnsi="Arial" w:cs="Arial"/>
          <w:lang w:val="es-ES_tradnl"/>
        </w:rPr>
        <w:t>”</w:t>
      </w:r>
      <w:r w:rsidR="0090334F" w:rsidRPr="0090334F">
        <w:rPr>
          <w:rFonts w:ascii="Arial" w:hAnsi="Arial" w:cs="Arial"/>
          <w:lang w:val="es-ES_tradnl"/>
        </w:rPr>
        <w:t xml:space="preserve"> para resultar protegido (n</w:t>
      </w:r>
      <w:r w:rsidRPr="0090334F">
        <w:rPr>
          <w:rFonts w:ascii="Arial" w:hAnsi="Arial" w:cs="Arial"/>
          <w:lang w:val="es-ES_tradnl"/>
        </w:rPr>
        <w:t xml:space="preserve">o basta </w:t>
      </w:r>
      <w:r w:rsidR="0090334F" w:rsidRPr="0090334F">
        <w:rPr>
          <w:rFonts w:ascii="Arial" w:hAnsi="Arial" w:cs="Arial"/>
          <w:lang w:val="es-ES_tradnl"/>
        </w:rPr>
        <w:t>la</w:t>
      </w:r>
      <w:r w:rsidR="00896E1E" w:rsidRPr="0090334F">
        <w:rPr>
          <w:rFonts w:ascii="Arial" w:hAnsi="Arial" w:cs="Arial"/>
          <w:lang w:val="es-ES_tradnl"/>
        </w:rPr>
        <w:t xml:space="preserve"> mera consulta </w:t>
      </w:r>
      <w:r w:rsidR="00B46B2B" w:rsidRPr="0090334F">
        <w:rPr>
          <w:rFonts w:ascii="Arial" w:hAnsi="Arial" w:cs="Arial"/>
          <w:lang w:val="es-ES_tradnl"/>
        </w:rPr>
        <w:t>a</w:t>
      </w:r>
      <w:r w:rsidR="00896E1E" w:rsidRPr="0090334F">
        <w:rPr>
          <w:rFonts w:ascii="Arial" w:hAnsi="Arial" w:cs="Arial"/>
          <w:lang w:val="es-ES_tradnl"/>
        </w:rPr>
        <w:t>l Registro</w:t>
      </w:r>
      <w:r w:rsidR="0090334F" w:rsidRPr="0090334F">
        <w:rPr>
          <w:rFonts w:ascii="Arial" w:hAnsi="Arial" w:cs="Arial"/>
          <w:lang w:val="es-ES_tradnl"/>
        </w:rPr>
        <w:t xml:space="preserve"> ni </w:t>
      </w:r>
      <w:r w:rsidR="00B417D8">
        <w:rPr>
          <w:rFonts w:ascii="Arial" w:hAnsi="Arial" w:cs="Arial"/>
          <w:lang w:val="es-ES_tradnl"/>
        </w:rPr>
        <w:t>el</w:t>
      </w:r>
      <w:r w:rsidR="0090334F" w:rsidRPr="0090334F">
        <w:rPr>
          <w:rFonts w:ascii="Arial" w:hAnsi="Arial" w:cs="Arial"/>
          <w:lang w:val="es-ES_tradnl"/>
        </w:rPr>
        <w:t xml:space="preserve"> </w:t>
      </w:r>
      <w:r w:rsidR="00907494">
        <w:rPr>
          <w:rFonts w:ascii="Arial" w:hAnsi="Arial" w:cs="Arial"/>
          <w:lang w:val="es-ES_tradnl"/>
        </w:rPr>
        <w:t xml:space="preserve">simple </w:t>
      </w:r>
      <w:r w:rsidR="0090334F" w:rsidRPr="0090334F">
        <w:rPr>
          <w:rFonts w:ascii="Arial" w:hAnsi="Arial" w:cs="Arial"/>
          <w:lang w:val="es-ES_tradnl"/>
        </w:rPr>
        <w:t xml:space="preserve">desconocimiento de la realidad: </w:t>
      </w:r>
      <w:r w:rsidR="0090334F" w:rsidRPr="0090334F">
        <w:rPr>
          <w:rFonts w:ascii="Arial" w:hAnsi="Arial" w:cs="Arial"/>
        </w:rPr>
        <w:t>“la negligencia del ignorante”</w:t>
      </w:r>
      <w:r w:rsidR="00B417D8">
        <w:rPr>
          <w:rFonts w:ascii="Arial" w:hAnsi="Arial" w:cs="Arial"/>
        </w:rPr>
        <w:t xml:space="preserve"> desvirtúa la buena fe</w:t>
      </w:r>
      <w:r w:rsidR="0090334F" w:rsidRPr="0090334F">
        <w:rPr>
          <w:rFonts w:ascii="Arial" w:hAnsi="Arial" w:cs="Arial"/>
        </w:rPr>
        <w:t>)</w:t>
      </w:r>
    </w:p>
    <w:p w:rsidR="002F51A6" w:rsidRPr="00374CA8" w:rsidRDefault="00B46B2B" w:rsidP="00302CB3">
      <w:pPr>
        <w:spacing w:line="240" w:lineRule="auto"/>
        <w:ind w:left="1128"/>
        <w:jc w:val="both"/>
        <w:rPr>
          <w:rFonts w:ascii="Arial" w:hAnsi="Arial" w:cs="Arial"/>
          <w:lang w:val="es-ES_tradnl"/>
        </w:rPr>
      </w:pPr>
      <w:r w:rsidRPr="0090334F">
        <w:rPr>
          <w:rFonts w:ascii="Arial" w:hAnsi="Arial" w:cs="Arial"/>
          <w:lang w:val="es-ES_tradnl"/>
        </w:rPr>
        <w:t>I</w:t>
      </w:r>
      <w:r w:rsidR="00EB3B4D" w:rsidRPr="0090334F">
        <w:rPr>
          <w:rFonts w:ascii="Arial" w:hAnsi="Arial" w:cs="Arial"/>
          <w:lang w:val="es-ES_tradnl"/>
        </w:rPr>
        <w:t>ncluso exige buena fe en el caso de inscripciones constitutivas como el de la hipoteca</w:t>
      </w:r>
      <w:r w:rsidR="00907494">
        <w:rPr>
          <w:rFonts w:ascii="Arial" w:hAnsi="Arial" w:cs="Arial"/>
          <w:lang w:val="es-ES_tradnl"/>
        </w:rPr>
        <w:t xml:space="preserve">, </w:t>
      </w:r>
      <w:proofErr w:type="spellStart"/>
      <w:r w:rsidR="00907494">
        <w:rPr>
          <w:rFonts w:ascii="Arial" w:hAnsi="Arial" w:cs="Arial"/>
          <w:lang w:val="es-ES_tradnl"/>
        </w:rPr>
        <w:t>vg</w:t>
      </w:r>
      <w:proofErr w:type="spellEnd"/>
      <w:r w:rsidRPr="0090334F">
        <w:rPr>
          <w:rFonts w:ascii="Arial" w:hAnsi="Arial" w:cs="Arial"/>
          <w:lang w:val="es-ES_tradnl"/>
        </w:rPr>
        <w:t xml:space="preserve"> </w:t>
      </w:r>
      <w:r w:rsidR="00EB3B4D" w:rsidRPr="0090334F">
        <w:rPr>
          <w:rFonts w:ascii="Arial" w:hAnsi="Arial" w:cs="Arial"/>
          <w:b/>
          <w:lang w:val="es-ES_tradnl"/>
        </w:rPr>
        <w:t>caso de doble hipoteca</w:t>
      </w:r>
      <w:r w:rsidR="00EB3B4D" w:rsidRPr="0090334F">
        <w:rPr>
          <w:rFonts w:ascii="Arial" w:hAnsi="Arial" w:cs="Arial"/>
          <w:lang w:val="es-ES_tradnl"/>
        </w:rPr>
        <w:t xml:space="preserve"> (hipoteca con escritura de constitución posterior pero inscrita antes</w:t>
      </w:r>
      <w:r w:rsidR="0090334F" w:rsidRPr="0090334F">
        <w:rPr>
          <w:rFonts w:ascii="Arial" w:hAnsi="Arial" w:cs="Arial"/>
          <w:lang w:val="es-ES_tradnl"/>
        </w:rPr>
        <w:t>; el TS</w:t>
      </w:r>
      <w:r w:rsidR="00EB3B4D" w:rsidRPr="0090334F">
        <w:rPr>
          <w:rFonts w:ascii="Arial" w:hAnsi="Arial" w:cs="Arial"/>
          <w:lang w:val="es-ES_tradnl"/>
        </w:rPr>
        <w:t xml:space="preserve"> exige buena fe en el acreedor hipotecario </w:t>
      </w:r>
      <w:r w:rsidR="0090334F" w:rsidRPr="0090334F">
        <w:rPr>
          <w:rFonts w:ascii="Arial" w:hAnsi="Arial" w:cs="Arial"/>
          <w:lang w:val="es-ES_tradnl"/>
        </w:rPr>
        <w:t xml:space="preserve">segundo </w:t>
      </w:r>
      <w:r w:rsidR="00EB3B4D" w:rsidRPr="0090334F">
        <w:rPr>
          <w:rFonts w:ascii="Arial" w:hAnsi="Arial" w:cs="Arial"/>
          <w:lang w:val="es-ES_tradnl"/>
        </w:rPr>
        <w:t>para ser preferido</w:t>
      </w:r>
      <w:r w:rsidR="007B4CA4">
        <w:rPr>
          <w:rFonts w:ascii="Arial" w:hAnsi="Arial" w:cs="Arial"/>
          <w:lang w:val="es-ES_tradnl"/>
        </w:rPr>
        <w:t>.</w:t>
      </w:r>
    </w:p>
    <w:p w:rsidR="00B46B2B" w:rsidRPr="00374CA8" w:rsidRDefault="00B46B2B" w:rsidP="00EB1449">
      <w:pPr>
        <w:spacing w:line="240" w:lineRule="auto"/>
        <w:ind w:left="1416"/>
        <w:jc w:val="both"/>
        <w:rPr>
          <w:rFonts w:ascii="Arial" w:hAnsi="Arial" w:cs="Arial"/>
          <w:lang w:val="es-ES_tradnl"/>
        </w:rPr>
      </w:pPr>
    </w:p>
    <w:p w:rsidR="002F51A6" w:rsidRPr="00374CA8" w:rsidRDefault="002F51A6" w:rsidP="00EB1449">
      <w:pPr>
        <w:pBdr>
          <w:top w:val="single" w:sz="6" w:space="1" w:color="auto"/>
          <w:left w:val="single" w:sz="6" w:space="4" w:color="auto"/>
          <w:bottom w:val="single" w:sz="6" w:space="1" w:color="auto"/>
          <w:right w:val="single" w:sz="6" w:space="4" w:color="auto"/>
        </w:pBdr>
        <w:spacing w:line="240" w:lineRule="auto"/>
        <w:jc w:val="both"/>
        <w:rPr>
          <w:rFonts w:ascii="Arial" w:hAnsi="Arial" w:cs="Arial"/>
          <w:b/>
        </w:rPr>
      </w:pPr>
      <w:r w:rsidRPr="00374CA8">
        <w:rPr>
          <w:rFonts w:ascii="Arial" w:hAnsi="Arial" w:cs="Arial"/>
          <w:b/>
        </w:rPr>
        <w:t>LA CAUSA</w:t>
      </w:r>
      <w:r w:rsidR="00DD1103" w:rsidRPr="00374CA8">
        <w:rPr>
          <w:rFonts w:ascii="Arial" w:hAnsi="Arial" w:cs="Arial"/>
          <w:b/>
        </w:rPr>
        <w:t xml:space="preserve"> Y LA INSCRIPCIÓN</w:t>
      </w:r>
    </w:p>
    <w:p w:rsidR="00EC7C0D" w:rsidRDefault="002F51A6" w:rsidP="00B417D8">
      <w:pPr>
        <w:pStyle w:val="Textoindependiente"/>
        <w:rPr>
          <w:rFonts w:cs="Arial"/>
          <w:sz w:val="22"/>
          <w:szCs w:val="22"/>
        </w:rPr>
      </w:pPr>
      <w:r w:rsidRPr="00374CA8">
        <w:rPr>
          <w:rFonts w:cs="Arial"/>
          <w:sz w:val="22"/>
          <w:szCs w:val="22"/>
        </w:rPr>
        <w:t>En nuestro derecho los cambios reales se producen siempre en virtud de negocios jurídicos que son de naturaleza causal</w:t>
      </w:r>
      <w:r w:rsidRPr="00EC7C0D">
        <w:rPr>
          <w:rFonts w:cs="Arial"/>
          <w:i/>
          <w:sz w:val="22"/>
          <w:szCs w:val="22"/>
        </w:rPr>
        <w:t>: por consecuencia de ciertos contratos mediante la tradición</w:t>
      </w:r>
      <w:r w:rsidRPr="00374CA8">
        <w:rPr>
          <w:rFonts w:cs="Arial"/>
          <w:sz w:val="22"/>
          <w:szCs w:val="22"/>
        </w:rPr>
        <w:t>.</w:t>
      </w:r>
      <w:r w:rsidR="00E35DF0" w:rsidRPr="00374CA8">
        <w:rPr>
          <w:rFonts w:cs="Arial"/>
          <w:sz w:val="22"/>
          <w:szCs w:val="22"/>
        </w:rPr>
        <w:t xml:space="preserve"> </w:t>
      </w:r>
      <w:r w:rsidRPr="00374CA8">
        <w:rPr>
          <w:rFonts w:cs="Arial"/>
          <w:sz w:val="22"/>
          <w:szCs w:val="22"/>
        </w:rPr>
        <w:t xml:space="preserve">En principio, esto supone que las inscripciones son también </w:t>
      </w:r>
      <w:proofErr w:type="spellStart"/>
      <w:r w:rsidRPr="00374CA8">
        <w:rPr>
          <w:rFonts w:cs="Arial"/>
          <w:sz w:val="22"/>
          <w:szCs w:val="22"/>
        </w:rPr>
        <w:t>causalizadas</w:t>
      </w:r>
      <w:proofErr w:type="spellEnd"/>
      <w:r w:rsidR="00B417D8">
        <w:rPr>
          <w:rFonts w:cs="Arial"/>
          <w:sz w:val="22"/>
          <w:szCs w:val="22"/>
        </w:rPr>
        <w:t xml:space="preserve"> (l</w:t>
      </w:r>
      <w:r w:rsidR="00EC7C0D" w:rsidRPr="00EC7C0D">
        <w:rPr>
          <w:rFonts w:cs="Arial"/>
          <w:sz w:val="22"/>
          <w:szCs w:val="22"/>
        </w:rPr>
        <w:t>a “calificación registral” ha de extenderse a la causa</w:t>
      </w:r>
      <w:r w:rsidR="00EC7C0D">
        <w:rPr>
          <w:rFonts w:cs="Arial"/>
          <w:sz w:val="22"/>
          <w:szCs w:val="22"/>
        </w:rPr>
        <w:t>, pues</w:t>
      </w:r>
      <w:r w:rsidR="00EC7C0D" w:rsidRPr="00EC7C0D">
        <w:rPr>
          <w:rFonts w:cs="Arial"/>
          <w:sz w:val="22"/>
          <w:szCs w:val="22"/>
        </w:rPr>
        <w:t xml:space="preserve"> el </w:t>
      </w:r>
      <w:r w:rsidR="00EC7C0D" w:rsidRPr="00EC7C0D">
        <w:rPr>
          <w:rFonts w:cs="Arial"/>
          <w:b/>
          <w:sz w:val="22"/>
          <w:szCs w:val="22"/>
        </w:rPr>
        <w:t xml:space="preserve">art 18 LH </w:t>
      </w:r>
      <w:r w:rsidR="00EC7C0D" w:rsidRPr="00EC7C0D">
        <w:rPr>
          <w:rFonts w:cs="Arial"/>
          <w:sz w:val="22"/>
          <w:szCs w:val="22"/>
        </w:rPr>
        <w:t>obliga al registrador a calificar la “validez de los actos dispositivos”)</w:t>
      </w:r>
    </w:p>
    <w:p w:rsidR="00EC7C0D" w:rsidRPr="00374CA8" w:rsidRDefault="00EC7C0D" w:rsidP="00EB1449">
      <w:pPr>
        <w:pStyle w:val="Textoindependiente"/>
        <w:rPr>
          <w:rFonts w:cs="Arial"/>
          <w:sz w:val="22"/>
          <w:szCs w:val="22"/>
        </w:rPr>
      </w:pPr>
    </w:p>
    <w:p w:rsidR="002F51A6" w:rsidRPr="00374CA8" w:rsidRDefault="002F51A6" w:rsidP="00EB1449">
      <w:pPr>
        <w:spacing w:line="240" w:lineRule="auto"/>
        <w:jc w:val="both"/>
        <w:rPr>
          <w:rFonts w:ascii="Arial" w:hAnsi="Arial" w:cs="Arial"/>
          <w:b/>
          <w:u w:val="single"/>
        </w:rPr>
      </w:pPr>
      <w:r w:rsidRPr="00374CA8">
        <w:rPr>
          <w:rFonts w:ascii="Arial" w:hAnsi="Arial" w:cs="Arial"/>
        </w:rPr>
        <w:t xml:space="preserve">Ahora bien, lo que se plantea es si es o no indispensable que el Registro publique la causa del negocio que se inscribe, o dicho de otro modo, </w:t>
      </w:r>
      <w:r w:rsidRPr="00374CA8">
        <w:rPr>
          <w:rFonts w:ascii="Arial" w:hAnsi="Arial" w:cs="Arial"/>
          <w:b/>
        </w:rPr>
        <w:t>si la causa debe expresarse en el título que se presenta</w:t>
      </w:r>
      <w:r w:rsidR="00121E3B">
        <w:rPr>
          <w:rFonts w:ascii="Arial" w:hAnsi="Arial" w:cs="Arial"/>
          <w:b/>
        </w:rPr>
        <w:t xml:space="preserve"> ante el Registro</w:t>
      </w:r>
      <w:r w:rsidRPr="00374CA8">
        <w:rPr>
          <w:rFonts w:ascii="Arial" w:hAnsi="Arial" w:cs="Arial"/>
          <w:b/>
        </w:rPr>
        <w:t>.</w:t>
      </w:r>
    </w:p>
    <w:p w:rsidR="00492125" w:rsidRDefault="00492125" w:rsidP="00EB1449">
      <w:pPr>
        <w:spacing w:line="240" w:lineRule="auto"/>
        <w:ind w:left="708"/>
        <w:jc w:val="both"/>
        <w:rPr>
          <w:rFonts w:ascii="Arial" w:hAnsi="Arial" w:cs="Arial"/>
        </w:rPr>
      </w:pPr>
      <w:r>
        <w:rPr>
          <w:rFonts w:ascii="Arial" w:hAnsi="Arial" w:cs="Arial"/>
        </w:rPr>
        <w:lastRenderedPageBreak/>
        <w:t xml:space="preserve">LACRUZ en un principio (luego rectificó su postura) </w:t>
      </w:r>
      <w:r w:rsidR="002F51A6" w:rsidRPr="00374CA8">
        <w:rPr>
          <w:rFonts w:ascii="Arial" w:hAnsi="Arial" w:cs="Arial"/>
        </w:rPr>
        <w:t>entend</w:t>
      </w:r>
      <w:r>
        <w:rPr>
          <w:rFonts w:ascii="Arial" w:hAnsi="Arial" w:cs="Arial"/>
        </w:rPr>
        <w:t>ía</w:t>
      </w:r>
      <w:r w:rsidR="002F51A6" w:rsidRPr="00374CA8">
        <w:rPr>
          <w:rFonts w:ascii="Arial" w:hAnsi="Arial" w:cs="Arial"/>
        </w:rPr>
        <w:t xml:space="preserve"> que es inscribible una escritura en la que se documente un cambio real sin expresión de causa. </w:t>
      </w:r>
    </w:p>
    <w:p w:rsidR="00492125" w:rsidRDefault="002F51A6" w:rsidP="00492125">
      <w:pPr>
        <w:spacing w:line="240" w:lineRule="auto"/>
        <w:ind w:left="1416"/>
        <w:jc w:val="both"/>
        <w:rPr>
          <w:rFonts w:ascii="Arial" w:hAnsi="Arial" w:cs="Arial"/>
        </w:rPr>
      </w:pPr>
      <w:r w:rsidRPr="00374CA8">
        <w:rPr>
          <w:rFonts w:ascii="Arial" w:hAnsi="Arial" w:cs="Arial"/>
        </w:rPr>
        <w:t xml:space="preserve">Habría dificultades de tipo fiscal, pero es admisible desde una óptica civil, porque la causa se presume que existe y es lícita (art.1277 </w:t>
      </w:r>
      <w:proofErr w:type="spellStart"/>
      <w:r w:rsidRPr="00374CA8">
        <w:rPr>
          <w:rFonts w:ascii="Arial" w:hAnsi="Arial" w:cs="Arial"/>
        </w:rPr>
        <w:t>Cc</w:t>
      </w:r>
      <w:proofErr w:type="spellEnd"/>
      <w:r w:rsidRPr="00374CA8">
        <w:rPr>
          <w:rFonts w:ascii="Arial" w:hAnsi="Arial" w:cs="Arial"/>
        </w:rPr>
        <w:t>)</w:t>
      </w:r>
      <w:r w:rsidR="00492125">
        <w:rPr>
          <w:rFonts w:ascii="Arial" w:hAnsi="Arial" w:cs="Arial"/>
        </w:rPr>
        <w:t xml:space="preserve"> y </w:t>
      </w:r>
      <w:r w:rsidR="00492125" w:rsidRPr="00492125">
        <w:rPr>
          <w:rFonts w:ascii="Arial" w:hAnsi="Arial" w:cs="Arial"/>
        </w:rPr>
        <w:t>ningún precepto hipotecario impone explícitamente que la inscripción mencione la causa</w:t>
      </w:r>
      <w:r w:rsidR="00492125">
        <w:rPr>
          <w:rFonts w:ascii="Arial" w:hAnsi="Arial" w:cs="Arial"/>
        </w:rPr>
        <w:t>.</w:t>
      </w:r>
    </w:p>
    <w:p w:rsidR="0049524F" w:rsidRDefault="00AA4CE5" w:rsidP="00AA4CE5">
      <w:pPr>
        <w:spacing w:line="240" w:lineRule="auto"/>
        <w:ind w:left="708"/>
        <w:jc w:val="both"/>
        <w:rPr>
          <w:rFonts w:ascii="Arial" w:hAnsi="Arial" w:cs="Arial"/>
        </w:rPr>
      </w:pPr>
      <w:r w:rsidRPr="00492125">
        <w:rPr>
          <w:rFonts w:ascii="Arial" w:hAnsi="Arial" w:cs="Arial"/>
        </w:rPr>
        <w:t>Una R de 19 enero 1.994 declar</w:t>
      </w:r>
      <w:r>
        <w:rPr>
          <w:rFonts w:ascii="Arial" w:hAnsi="Arial" w:cs="Arial"/>
        </w:rPr>
        <w:t>a</w:t>
      </w:r>
      <w:r w:rsidRPr="00492125">
        <w:rPr>
          <w:rFonts w:ascii="Arial" w:hAnsi="Arial" w:cs="Arial"/>
        </w:rPr>
        <w:t xml:space="preserve"> </w:t>
      </w:r>
      <w:r>
        <w:rPr>
          <w:rFonts w:ascii="Arial" w:hAnsi="Arial" w:cs="Arial"/>
        </w:rPr>
        <w:t>NO</w:t>
      </w:r>
      <w:r w:rsidRPr="00492125">
        <w:rPr>
          <w:rFonts w:ascii="Arial" w:hAnsi="Arial" w:cs="Arial"/>
        </w:rPr>
        <w:t xml:space="preserve"> inscribible un mero </w:t>
      </w:r>
      <w:r w:rsidRPr="00AA4CE5">
        <w:rPr>
          <w:rFonts w:ascii="Arial" w:hAnsi="Arial" w:cs="Arial"/>
          <w:b/>
        </w:rPr>
        <w:t>reconocimiento de dominio</w:t>
      </w:r>
      <w:r w:rsidRPr="00492125">
        <w:rPr>
          <w:rFonts w:ascii="Arial" w:hAnsi="Arial" w:cs="Arial"/>
        </w:rPr>
        <w:t xml:space="preserve">, sin expresión de causa. </w:t>
      </w:r>
      <w:r>
        <w:rPr>
          <w:rFonts w:ascii="Arial" w:hAnsi="Arial" w:cs="Arial"/>
        </w:rPr>
        <w:t>Y l</w:t>
      </w:r>
      <w:r w:rsidR="002F51A6" w:rsidRPr="00374CA8">
        <w:rPr>
          <w:rFonts w:ascii="Arial" w:hAnsi="Arial" w:cs="Arial"/>
        </w:rPr>
        <w:t xml:space="preserve">a </w:t>
      </w:r>
      <w:r w:rsidR="0049524F">
        <w:rPr>
          <w:rFonts w:ascii="Arial" w:hAnsi="Arial" w:cs="Arial"/>
        </w:rPr>
        <w:t>R</w:t>
      </w:r>
      <w:r w:rsidR="002F51A6" w:rsidRPr="006F2BB2">
        <w:rPr>
          <w:rFonts w:ascii="Arial" w:hAnsi="Arial" w:cs="Arial"/>
        </w:rPr>
        <w:t>DGRN</w:t>
      </w:r>
      <w:r w:rsidR="002F51A6" w:rsidRPr="00374CA8">
        <w:rPr>
          <w:rFonts w:ascii="Arial" w:hAnsi="Arial" w:cs="Arial"/>
        </w:rPr>
        <w:t xml:space="preserve"> </w:t>
      </w:r>
      <w:r w:rsidR="0049524F">
        <w:rPr>
          <w:rFonts w:ascii="Arial" w:hAnsi="Arial" w:cs="Arial"/>
        </w:rPr>
        <w:t xml:space="preserve">27 septiembre 1999 exige expresar la causa del </w:t>
      </w:r>
      <w:r w:rsidR="0049524F" w:rsidRPr="00AA4CE5">
        <w:rPr>
          <w:rFonts w:ascii="Arial" w:hAnsi="Arial" w:cs="Arial"/>
          <w:b/>
        </w:rPr>
        <w:t xml:space="preserve">consentimiento </w:t>
      </w:r>
      <w:proofErr w:type="spellStart"/>
      <w:r w:rsidR="0049524F" w:rsidRPr="00AA4CE5">
        <w:rPr>
          <w:rFonts w:ascii="Arial" w:hAnsi="Arial" w:cs="Arial"/>
          <w:b/>
        </w:rPr>
        <w:t>cancelatorio</w:t>
      </w:r>
      <w:proofErr w:type="spellEnd"/>
      <w:r>
        <w:rPr>
          <w:rFonts w:ascii="Arial" w:hAnsi="Arial" w:cs="Arial"/>
        </w:rPr>
        <w:t>, a</w:t>
      </w:r>
      <w:r w:rsidR="0049524F">
        <w:rPr>
          <w:rFonts w:ascii="Arial" w:hAnsi="Arial" w:cs="Arial"/>
        </w:rPr>
        <w:t>rgument</w:t>
      </w:r>
      <w:r>
        <w:rPr>
          <w:rFonts w:ascii="Arial" w:hAnsi="Arial" w:cs="Arial"/>
        </w:rPr>
        <w:t>ando</w:t>
      </w:r>
      <w:r w:rsidR="0049524F">
        <w:rPr>
          <w:rFonts w:ascii="Arial" w:hAnsi="Arial" w:cs="Arial"/>
        </w:rPr>
        <w:t>:</w:t>
      </w:r>
    </w:p>
    <w:p w:rsidR="0049524F" w:rsidRDefault="0049524F" w:rsidP="0049524F">
      <w:pPr>
        <w:spacing w:line="240" w:lineRule="auto"/>
        <w:ind w:left="1416"/>
        <w:jc w:val="both"/>
        <w:rPr>
          <w:rFonts w:ascii="Arial" w:hAnsi="Arial" w:cs="Arial"/>
        </w:rPr>
      </w:pPr>
      <w:r>
        <w:rPr>
          <w:rFonts w:ascii="Arial" w:hAnsi="Arial" w:cs="Arial"/>
        </w:rPr>
        <w:t xml:space="preserve">Nuestros sistemas civil e hipotecario son </w:t>
      </w:r>
      <w:proofErr w:type="spellStart"/>
      <w:r>
        <w:rPr>
          <w:rFonts w:ascii="Arial" w:hAnsi="Arial" w:cs="Arial"/>
        </w:rPr>
        <w:t>causalista</w:t>
      </w:r>
      <w:r w:rsidR="00AA4CE5">
        <w:rPr>
          <w:rFonts w:ascii="Arial" w:hAnsi="Arial" w:cs="Arial"/>
        </w:rPr>
        <w:t>s</w:t>
      </w:r>
      <w:proofErr w:type="spellEnd"/>
      <w:r>
        <w:rPr>
          <w:rFonts w:ascii="Arial" w:hAnsi="Arial" w:cs="Arial"/>
        </w:rPr>
        <w:t xml:space="preserve"> (</w:t>
      </w:r>
      <w:r w:rsidRPr="0049524F">
        <w:rPr>
          <w:rFonts w:ascii="Arial" w:hAnsi="Arial" w:cs="Arial"/>
        </w:rPr>
        <w:t xml:space="preserve">el art 82.1 LH no puede interpretarse “aisladamente” del resto del articulado de la LH) </w:t>
      </w:r>
    </w:p>
    <w:p w:rsidR="002F51A6" w:rsidRDefault="00AA4CE5" w:rsidP="0049524F">
      <w:pPr>
        <w:spacing w:line="240" w:lineRule="auto"/>
        <w:ind w:left="1416"/>
        <w:jc w:val="both"/>
        <w:rPr>
          <w:rFonts w:ascii="Arial" w:hAnsi="Arial" w:cs="Arial"/>
        </w:rPr>
      </w:pPr>
      <w:r>
        <w:rPr>
          <w:rFonts w:ascii="Arial" w:hAnsi="Arial" w:cs="Arial"/>
        </w:rPr>
        <w:t>L</w:t>
      </w:r>
      <w:r w:rsidR="002F51A6" w:rsidRPr="00374CA8">
        <w:rPr>
          <w:rFonts w:ascii="Arial" w:hAnsi="Arial" w:cs="Arial"/>
        </w:rPr>
        <w:t>o exige el principio de determinación registra</w:t>
      </w:r>
      <w:r w:rsidR="0049524F">
        <w:rPr>
          <w:rFonts w:ascii="Arial" w:hAnsi="Arial" w:cs="Arial"/>
        </w:rPr>
        <w:t>l,</w:t>
      </w:r>
      <w:r w:rsidR="002F51A6" w:rsidRPr="00374CA8">
        <w:rPr>
          <w:rFonts w:ascii="Arial" w:hAnsi="Arial" w:cs="Arial"/>
        </w:rPr>
        <w:t xml:space="preserve"> </w:t>
      </w:r>
      <w:r>
        <w:rPr>
          <w:rFonts w:ascii="Arial" w:hAnsi="Arial" w:cs="Arial"/>
        </w:rPr>
        <w:t xml:space="preserve">y </w:t>
      </w:r>
      <w:r w:rsidR="0049524F">
        <w:rPr>
          <w:rFonts w:ascii="Arial" w:hAnsi="Arial" w:cs="Arial"/>
        </w:rPr>
        <w:t>también l</w:t>
      </w:r>
      <w:r>
        <w:rPr>
          <w:rFonts w:ascii="Arial" w:hAnsi="Arial" w:cs="Arial"/>
        </w:rPr>
        <w:t>os</w:t>
      </w:r>
      <w:r w:rsidR="0049524F">
        <w:rPr>
          <w:rFonts w:ascii="Arial" w:hAnsi="Arial" w:cs="Arial"/>
        </w:rPr>
        <w:t xml:space="preserve"> </w:t>
      </w:r>
      <w:r>
        <w:rPr>
          <w:rFonts w:ascii="Arial" w:hAnsi="Arial" w:cs="Arial"/>
        </w:rPr>
        <w:t>de</w:t>
      </w:r>
      <w:r w:rsidR="0049524F">
        <w:rPr>
          <w:rFonts w:ascii="Arial" w:hAnsi="Arial" w:cs="Arial"/>
        </w:rPr>
        <w:t xml:space="preserve"> legalidad (calificación del Registrador) y de fe pública (di</w:t>
      </w:r>
      <w:r w:rsidR="002F51A6" w:rsidRPr="00374CA8">
        <w:rPr>
          <w:rFonts w:ascii="Arial" w:hAnsi="Arial" w:cs="Arial"/>
        </w:rPr>
        <w:t xml:space="preserve">ferente alcance de la protección </w:t>
      </w:r>
      <w:r w:rsidR="0049524F">
        <w:rPr>
          <w:rFonts w:ascii="Arial" w:hAnsi="Arial" w:cs="Arial"/>
        </w:rPr>
        <w:t>registral según</w:t>
      </w:r>
      <w:r w:rsidR="002F51A6" w:rsidRPr="00374CA8">
        <w:rPr>
          <w:rFonts w:ascii="Arial" w:hAnsi="Arial" w:cs="Arial"/>
        </w:rPr>
        <w:t xml:space="preserve"> el negocio sea oneroso</w:t>
      </w:r>
      <w:r w:rsidR="0049524F">
        <w:rPr>
          <w:rFonts w:ascii="Arial" w:hAnsi="Arial" w:cs="Arial"/>
        </w:rPr>
        <w:t>/</w:t>
      </w:r>
      <w:r w:rsidR="002F51A6" w:rsidRPr="00374CA8">
        <w:rPr>
          <w:rFonts w:ascii="Arial" w:hAnsi="Arial" w:cs="Arial"/>
        </w:rPr>
        <w:t>gratuito</w:t>
      </w:r>
      <w:r w:rsidR="0049524F">
        <w:rPr>
          <w:rFonts w:ascii="Arial" w:hAnsi="Arial" w:cs="Arial"/>
        </w:rPr>
        <w:t>)</w:t>
      </w:r>
      <w:r>
        <w:rPr>
          <w:rFonts w:ascii="Arial" w:hAnsi="Arial" w:cs="Arial"/>
        </w:rPr>
        <w:t>. Además:</w:t>
      </w:r>
    </w:p>
    <w:p w:rsidR="00907494" w:rsidRDefault="006F2BB2" w:rsidP="006F2BB2">
      <w:pPr>
        <w:spacing w:line="240" w:lineRule="auto"/>
        <w:ind w:left="2124"/>
        <w:jc w:val="both"/>
        <w:rPr>
          <w:rFonts w:ascii="Arial" w:hAnsi="Arial" w:cs="Arial"/>
        </w:rPr>
      </w:pPr>
      <w:r w:rsidRPr="006F2BB2">
        <w:rPr>
          <w:rFonts w:ascii="Arial" w:hAnsi="Arial" w:cs="Arial"/>
        </w:rPr>
        <w:t>La inscripción</w:t>
      </w:r>
      <w:r>
        <w:rPr>
          <w:rFonts w:ascii="Arial" w:hAnsi="Arial" w:cs="Arial"/>
        </w:rPr>
        <w:t>, una vez practicada,</w:t>
      </w:r>
      <w:r w:rsidRPr="006F2BB2">
        <w:rPr>
          <w:rFonts w:ascii="Arial" w:hAnsi="Arial" w:cs="Arial"/>
        </w:rPr>
        <w:t xml:space="preserve"> es de “interés general” y está “bajo la salvaguardia de los Tribunales”</w:t>
      </w:r>
    </w:p>
    <w:p w:rsidR="006F2BB2" w:rsidRPr="006F2BB2" w:rsidRDefault="00907494" w:rsidP="006F2BB2">
      <w:pPr>
        <w:spacing w:line="240" w:lineRule="auto"/>
        <w:ind w:left="2124"/>
        <w:jc w:val="both"/>
        <w:rPr>
          <w:rFonts w:ascii="Arial" w:hAnsi="Arial" w:cs="Arial"/>
        </w:rPr>
      </w:pPr>
      <w:r>
        <w:rPr>
          <w:rFonts w:ascii="Arial" w:hAnsi="Arial" w:cs="Arial"/>
        </w:rPr>
        <w:t xml:space="preserve">6.2 </w:t>
      </w:r>
      <w:proofErr w:type="spellStart"/>
      <w:r>
        <w:rPr>
          <w:rFonts w:ascii="Arial" w:hAnsi="Arial" w:cs="Arial"/>
        </w:rPr>
        <w:t>Cc</w:t>
      </w:r>
      <w:proofErr w:type="spellEnd"/>
      <w:r>
        <w:rPr>
          <w:rFonts w:ascii="Arial" w:hAnsi="Arial" w:cs="Arial"/>
        </w:rPr>
        <w:t xml:space="preserve"> </w:t>
      </w:r>
      <w:r w:rsidR="006F2BB2" w:rsidRPr="006F2BB2">
        <w:rPr>
          <w:rFonts w:ascii="Arial" w:hAnsi="Arial" w:cs="Arial"/>
        </w:rPr>
        <w:t xml:space="preserve"> (la “</w:t>
      </w:r>
      <w:proofErr w:type="spellStart"/>
      <w:r w:rsidR="006F2BB2" w:rsidRPr="006F2BB2">
        <w:rPr>
          <w:rFonts w:ascii="Arial" w:hAnsi="Arial" w:cs="Arial"/>
        </w:rPr>
        <w:t>desinscripción</w:t>
      </w:r>
      <w:proofErr w:type="spellEnd"/>
      <w:r w:rsidR="006F2BB2" w:rsidRPr="006F2BB2">
        <w:rPr>
          <w:rFonts w:ascii="Arial" w:hAnsi="Arial" w:cs="Arial"/>
        </w:rPr>
        <w:t>” puede perjudicar a terceros, RDGRN 20 febrero 2003).</w:t>
      </w:r>
    </w:p>
    <w:p w:rsidR="00492125" w:rsidRPr="00374CA8" w:rsidRDefault="00492125" w:rsidP="00EB1449">
      <w:pPr>
        <w:spacing w:line="240" w:lineRule="auto"/>
        <w:jc w:val="both"/>
        <w:rPr>
          <w:rFonts w:ascii="Arial" w:hAnsi="Arial" w:cs="Arial"/>
        </w:rPr>
      </w:pPr>
    </w:p>
    <w:tbl>
      <w:tblPr>
        <w:tblStyle w:val="Tablaconcuadrcula"/>
        <w:tblW w:w="0" w:type="auto"/>
        <w:tblLook w:val="04A0" w:firstRow="1" w:lastRow="0" w:firstColumn="1" w:lastColumn="0" w:noHBand="0" w:noVBand="1"/>
      </w:tblPr>
      <w:tblGrid>
        <w:gridCol w:w="8494"/>
      </w:tblGrid>
      <w:tr w:rsidR="00DD1103" w:rsidRPr="00374CA8" w:rsidTr="00DD1103">
        <w:tc>
          <w:tcPr>
            <w:tcW w:w="8644" w:type="dxa"/>
          </w:tcPr>
          <w:p w:rsidR="00DD1103" w:rsidRPr="00374CA8" w:rsidRDefault="00DD1103" w:rsidP="00EB1449">
            <w:pPr>
              <w:spacing w:line="240" w:lineRule="auto"/>
              <w:jc w:val="both"/>
              <w:rPr>
                <w:rFonts w:ascii="Arial" w:hAnsi="Arial" w:cs="Arial"/>
                <w:b/>
              </w:rPr>
            </w:pPr>
            <w:r w:rsidRPr="00374CA8">
              <w:rPr>
                <w:rFonts w:ascii="Arial" w:hAnsi="Arial" w:cs="Arial"/>
                <w:b/>
              </w:rPr>
              <w:t>EL CONSENTIMIENTO FORMAL EN NUESTRO DERECHO</w:t>
            </w:r>
          </w:p>
        </w:tc>
      </w:tr>
    </w:tbl>
    <w:p w:rsidR="002F51A6" w:rsidRPr="00374CA8" w:rsidRDefault="002F51A6" w:rsidP="00EB1449">
      <w:pPr>
        <w:spacing w:line="240" w:lineRule="auto"/>
        <w:jc w:val="both"/>
        <w:rPr>
          <w:rFonts w:ascii="Arial" w:hAnsi="Arial" w:cs="Arial"/>
        </w:rPr>
      </w:pPr>
    </w:p>
    <w:p w:rsidR="002F51A6" w:rsidRPr="00374CA8" w:rsidRDefault="002F51A6" w:rsidP="00EB1449">
      <w:pPr>
        <w:spacing w:line="240" w:lineRule="auto"/>
        <w:jc w:val="both"/>
        <w:rPr>
          <w:rFonts w:ascii="Arial" w:hAnsi="Arial" w:cs="Arial"/>
        </w:rPr>
      </w:pPr>
      <w:r w:rsidRPr="00374CA8">
        <w:rPr>
          <w:rFonts w:ascii="Arial" w:hAnsi="Arial" w:cs="Arial"/>
        </w:rPr>
        <w:t>En el derecho alemán, junto al consentimiento material</w:t>
      </w:r>
      <w:r w:rsidR="00B46B2B" w:rsidRPr="00374CA8">
        <w:rPr>
          <w:rFonts w:ascii="Arial" w:hAnsi="Arial" w:cs="Arial"/>
        </w:rPr>
        <w:t xml:space="preserve"> </w:t>
      </w:r>
      <w:r w:rsidR="00B46B2B" w:rsidRPr="00374CA8">
        <w:rPr>
          <w:rFonts w:ascii="Arial" w:hAnsi="Arial" w:cs="Arial"/>
          <w:highlight w:val="yellow"/>
        </w:rPr>
        <w:t>(</w:t>
      </w:r>
      <w:proofErr w:type="spellStart"/>
      <w:r w:rsidR="004A2093" w:rsidRPr="00374CA8">
        <w:rPr>
          <w:rFonts w:ascii="Arial" w:hAnsi="Arial" w:cs="Arial"/>
          <w:highlight w:val="yellow"/>
        </w:rPr>
        <w:t>Verpflichtungsgeschäft</w:t>
      </w:r>
      <w:proofErr w:type="spellEnd"/>
      <w:r w:rsidR="004A2093" w:rsidRPr="00374CA8">
        <w:rPr>
          <w:rFonts w:ascii="Arial" w:hAnsi="Arial" w:cs="Arial"/>
          <w:highlight w:val="yellow"/>
        </w:rPr>
        <w:t xml:space="preserve"> versus </w:t>
      </w:r>
      <w:proofErr w:type="spellStart"/>
      <w:r w:rsidR="004A2093" w:rsidRPr="00374CA8">
        <w:rPr>
          <w:rFonts w:ascii="Arial" w:hAnsi="Arial" w:cs="Arial"/>
          <w:highlight w:val="yellow"/>
        </w:rPr>
        <w:t>Verfügungsgeschäft</w:t>
      </w:r>
      <w:proofErr w:type="spellEnd"/>
      <w:r w:rsidR="004A2093" w:rsidRPr="00374CA8">
        <w:rPr>
          <w:rFonts w:ascii="Arial" w:hAnsi="Arial" w:cs="Arial"/>
          <w:highlight w:val="yellow"/>
        </w:rPr>
        <w:t xml:space="preserve">: </w:t>
      </w:r>
      <w:proofErr w:type="spellStart"/>
      <w:r w:rsidR="00B46B2B" w:rsidRPr="00374CA8">
        <w:rPr>
          <w:rFonts w:ascii="Arial" w:hAnsi="Arial" w:cs="Arial"/>
          <w:highlight w:val="yellow"/>
        </w:rPr>
        <w:t>Trennungsprinzip</w:t>
      </w:r>
      <w:proofErr w:type="spellEnd"/>
      <w:r w:rsidR="00B46B2B" w:rsidRPr="00374CA8">
        <w:rPr>
          <w:rFonts w:ascii="Arial" w:hAnsi="Arial" w:cs="Arial"/>
          <w:highlight w:val="yellow"/>
        </w:rPr>
        <w:t>)</w:t>
      </w:r>
      <w:r w:rsidRPr="00374CA8">
        <w:rPr>
          <w:rFonts w:ascii="Arial" w:hAnsi="Arial" w:cs="Arial"/>
        </w:rPr>
        <w:t xml:space="preserve">, existe el llamado consentimiento formal </w:t>
      </w:r>
      <w:r w:rsidR="00B46B2B" w:rsidRPr="00374CA8">
        <w:rPr>
          <w:rFonts w:ascii="Arial" w:hAnsi="Arial" w:cs="Arial"/>
          <w:highlight w:val="yellow"/>
        </w:rPr>
        <w:t>(</w:t>
      </w:r>
      <w:proofErr w:type="spellStart"/>
      <w:r w:rsidR="00B46B2B" w:rsidRPr="00374CA8">
        <w:rPr>
          <w:rFonts w:ascii="Arial" w:hAnsi="Arial" w:cs="Arial"/>
          <w:highlight w:val="yellow"/>
        </w:rPr>
        <w:t>Einigung</w:t>
      </w:r>
      <w:proofErr w:type="spellEnd"/>
      <w:r w:rsidR="00B46B2B" w:rsidRPr="00374CA8">
        <w:rPr>
          <w:rFonts w:ascii="Arial" w:hAnsi="Arial" w:cs="Arial"/>
          <w:highlight w:val="yellow"/>
        </w:rPr>
        <w:t xml:space="preserve"> + </w:t>
      </w:r>
      <w:proofErr w:type="spellStart"/>
      <w:r w:rsidR="00B46B2B" w:rsidRPr="00374CA8">
        <w:rPr>
          <w:rFonts w:ascii="Arial" w:hAnsi="Arial" w:cs="Arial"/>
          <w:highlight w:val="yellow"/>
        </w:rPr>
        <w:t>Eintragung</w:t>
      </w:r>
      <w:proofErr w:type="spellEnd"/>
      <w:r w:rsidR="004A2093" w:rsidRPr="00374CA8">
        <w:rPr>
          <w:rFonts w:ascii="Arial" w:hAnsi="Arial" w:cs="Arial"/>
          <w:highlight w:val="yellow"/>
        </w:rPr>
        <w:t>, parágrafo 873 BGB</w:t>
      </w:r>
      <w:r w:rsidR="00B46B2B" w:rsidRPr="00374CA8">
        <w:rPr>
          <w:rFonts w:ascii="Arial" w:hAnsi="Arial" w:cs="Arial"/>
          <w:highlight w:val="yellow"/>
        </w:rPr>
        <w:t>):</w:t>
      </w:r>
      <w:r w:rsidR="00B46B2B" w:rsidRPr="00374CA8">
        <w:rPr>
          <w:rFonts w:ascii="Arial" w:hAnsi="Arial" w:cs="Arial"/>
        </w:rPr>
        <w:t xml:space="preserve"> </w:t>
      </w:r>
      <w:r w:rsidRPr="00374CA8">
        <w:rPr>
          <w:rFonts w:ascii="Arial" w:hAnsi="Arial" w:cs="Arial"/>
        </w:rPr>
        <w:t>para la adquisición y pérdida de una posición registral es suficiente una abstracta y formal declaración de voluntad de la persona afectada para la inscripción hecha ante el Encargado del Registro</w:t>
      </w:r>
      <w:r w:rsidR="004A2093" w:rsidRPr="00374CA8">
        <w:rPr>
          <w:rFonts w:ascii="Arial" w:hAnsi="Arial" w:cs="Arial"/>
        </w:rPr>
        <w:t xml:space="preserve"> </w:t>
      </w:r>
      <w:r w:rsidR="004A2093" w:rsidRPr="00374CA8">
        <w:rPr>
          <w:rFonts w:ascii="Arial" w:hAnsi="Arial" w:cs="Arial"/>
          <w:highlight w:val="yellow"/>
        </w:rPr>
        <w:t>(</w:t>
      </w:r>
      <w:proofErr w:type="spellStart"/>
      <w:r w:rsidR="004A2093" w:rsidRPr="00374CA8">
        <w:rPr>
          <w:rFonts w:ascii="Arial" w:hAnsi="Arial" w:cs="Arial"/>
          <w:highlight w:val="yellow"/>
        </w:rPr>
        <w:t>Auflassung</w:t>
      </w:r>
      <w:proofErr w:type="spellEnd"/>
      <w:r w:rsidR="004A2093" w:rsidRPr="00374CA8">
        <w:rPr>
          <w:rFonts w:ascii="Arial" w:hAnsi="Arial" w:cs="Arial"/>
          <w:highlight w:val="yellow"/>
        </w:rPr>
        <w:t>)</w:t>
      </w:r>
      <w:r w:rsidRPr="00374CA8">
        <w:rPr>
          <w:rFonts w:ascii="Arial" w:hAnsi="Arial" w:cs="Arial"/>
        </w:rPr>
        <w:t>.</w:t>
      </w:r>
    </w:p>
    <w:p w:rsidR="005B7629" w:rsidRPr="00374CA8" w:rsidRDefault="002F51A6" w:rsidP="00EB1449">
      <w:pPr>
        <w:spacing w:line="240" w:lineRule="auto"/>
        <w:jc w:val="both"/>
        <w:rPr>
          <w:rFonts w:ascii="Arial" w:hAnsi="Arial" w:cs="Arial"/>
        </w:rPr>
      </w:pPr>
      <w:r w:rsidRPr="00374CA8">
        <w:rPr>
          <w:rFonts w:ascii="Arial" w:hAnsi="Arial" w:cs="Arial"/>
        </w:rPr>
        <w:t xml:space="preserve">Es un consentimiento que </w:t>
      </w:r>
      <w:r w:rsidR="004A2093" w:rsidRPr="00374CA8">
        <w:rPr>
          <w:rFonts w:ascii="Arial" w:hAnsi="Arial" w:cs="Arial"/>
        </w:rPr>
        <w:t xml:space="preserve">entre nosotros </w:t>
      </w:r>
      <w:r w:rsidRPr="00374CA8">
        <w:rPr>
          <w:rFonts w:ascii="Arial" w:hAnsi="Arial" w:cs="Arial"/>
        </w:rPr>
        <w:t>no tiene lugar en las transmisiones de fincas o derechos</w:t>
      </w:r>
      <w:r w:rsidR="00E35DF0" w:rsidRPr="00374CA8">
        <w:rPr>
          <w:rFonts w:ascii="Arial" w:hAnsi="Arial" w:cs="Arial"/>
        </w:rPr>
        <w:t>. Sin embargo</w:t>
      </w:r>
      <w:r w:rsidRPr="00374CA8">
        <w:rPr>
          <w:rFonts w:ascii="Arial" w:hAnsi="Arial" w:cs="Arial"/>
        </w:rPr>
        <w:t xml:space="preserve"> Don JERONIMO GONZÁLEZ trató de </w:t>
      </w:r>
      <w:r w:rsidR="003F0D59">
        <w:rPr>
          <w:rFonts w:ascii="Arial" w:hAnsi="Arial" w:cs="Arial"/>
        </w:rPr>
        <w:t>“adaptarlo”</w:t>
      </w:r>
      <w:r w:rsidRPr="00374CA8">
        <w:rPr>
          <w:rFonts w:ascii="Arial" w:hAnsi="Arial" w:cs="Arial"/>
        </w:rPr>
        <w:t xml:space="preserve"> a nuestro ordenamiento.</w:t>
      </w:r>
      <w:r w:rsidR="00E35DF0" w:rsidRPr="00374CA8">
        <w:rPr>
          <w:rFonts w:ascii="Arial" w:hAnsi="Arial" w:cs="Arial"/>
        </w:rPr>
        <w:t xml:space="preserve"> </w:t>
      </w:r>
    </w:p>
    <w:p w:rsidR="00E35DF0" w:rsidRPr="00374CA8" w:rsidRDefault="005B7629" w:rsidP="00EB1449">
      <w:pPr>
        <w:spacing w:line="240" w:lineRule="auto"/>
        <w:jc w:val="both"/>
        <w:rPr>
          <w:rFonts w:ascii="Arial" w:hAnsi="Arial" w:cs="Arial"/>
        </w:rPr>
      </w:pPr>
      <w:r w:rsidRPr="00374CA8">
        <w:rPr>
          <w:rFonts w:ascii="Arial" w:hAnsi="Arial" w:cs="Arial"/>
        </w:rPr>
        <w:t xml:space="preserve">CARACTERES </w:t>
      </w:r>
      <w:r w:rsidR="003F0D59">
        <w:rPr>
          <w:rFonts w:ascii="Arial" w:hAnsi="Arial" w:cs="Arial"/>
        </w:rPr>
        <w:t xml:space="preserve">(en España) </w:t>
      </w:r>
      <w:r w:rsidRPr="00374CA8">
        <w:rPr>
          <w:rFonts w:ascii="Arial" w:hAnsi="Arial" w:cs="Arial"/>
        </w:rPr>
        <w:t>de</w:t>
      </w:r>
      <w:r w:rsidR="00E35DF0" w:rsidRPr="00374CA8">
        <w:rPr>
          <w:rFonts w:ascii="Arial" w:hAnsi="Arial" w:cs="Arial"/>
        </w:rPr>
        <w:t xml:space="preserve"> este consentimiento formal:</w:t>
      </w:r>
    </w:p>
    <w:p w:rsidR="00E35DF0" w:rsidRPr="00374CA8" w:rsidRDefault="00E35DF0" w:rsidP="00EB1449">
      <w:pPr>
        <w:spacing w:line="240" w:lineRule="auto"/>
        <w:ind w:left="708"/>
        <w:jc w:val="both"/>
        <w:rPr>
          <w:rFonts w:ascii="Arial" w:hAnsi="Arial" w:cs="Arial"/>
        </w:rPr>
      </w:pPr>
      <w:r w:rsidRPr="00374CA8">
        <w:rPr>
          <w:rFonts w:ascii="Arial" w:hAnsi="Arial" w:cs="Arial"/>
        </w:rPr>
        <w:t>Unilateral, porque solo hay voluntad del titular inscrito.</w:t>
      </w:r>
      <w:r w:rsidRPr="00374CA8">
        <w:rPr>
          <w:rFonts w:ascii="Arial" w:hAnsi="Arial" w:cs="Arial"/>
        </w:rPr>
        <w:tab/>
      </w:r>
    </w:p>
    <w:p w:rsidR="00E35DF0" w:rsidRPr="00374CA8" w:rsidRDefault="00E35DF0" w:rsidP="00EB1449">
      <w:pPr>
        <w:spacing w:line="240" w:lineRule="auto"/>
        <w:ind w:left="708"/>
        <w:jc w:val="both"/>
        <w:rPr>
          <w:rFonts w:ascii="Arial" w:hAnsi="Arial" w:cs="Arial"/>
        </w:rPr>
      </w:pPr>
      <w:proofErr w:type="spellStart"/>
      <w:r w:rsidRPr="00374CA8">
        <w:rPr>
          <w:rFonts w:ascii="Arial" w:hAnsi="Arial" w:cs="Arial"/>
        </w:rPr>
        <w:t>Recepticio</w:t>
      </w:r>
      <w:proofErr w:type="spellEnd"/>
      <w:r w:rsidRPr="00374CA8">
        <w:rPr>
          <w:rFonts w:ascii="Arial" w:hAnsi="Arial" w:cs="Arial"/>
        </w:rPr>
        <w:t>, porque va dirigido al Registro para que se practique el asiento.</w:t>
      </w:r>
    </w:p>
    <w:p w:rsidR="00E35DF0" w:rsidRPr="00374CA8" w:rsidRDefault="00E35DF0" w:rsidP="00EB1449">
      <w:pPr>
        <w:spacing w:line="240" w:lineRule="auto"/>
        <w:ind w:left="708"/>
        <w:jc w:val="both"/>
        <w:rPr>
          <w:rFonts w:ascii="Arial" w:hAnsi="Arial" w:cs="Arial"/>
        </w:rPr>
      </w:pPr>
      <w:r w:rsidRPr="00374CA8">
        <w:rPr>
          <w:rFonts w:ascii="Arial" w:hAnsi="Arial" w:cs="Arial"/>
        </w:rPr>
        <w:t>Abstracto, en el sentido de que la causa no se expresa</w:t>
      </w:r>
      <w:r w:rsidR="003F0D59">
        <w:rPr>
          <w:rFonts w:ascii="Arial" w:hAnsi="Arial" w:cs="Arial"/>
        </w:rPr>
        <w:t xml:space="preserve"> (</w:t>
      </w:r>
      <w:r w:rsidRPr="00374CA8">
        <w:rPr>
          <w:rFonts w:ascii="Arial" w:hAnsi="Arial" w:cs="Arial"/>
        </w:rPr>
        <w:t>no que sea verdaderamente abstracto</w:t>
      </w:r>
      <w:r w:rsidR="003F0D59">
        <w:rPr>
          <w:rFonts w:ascii="Arial" w:hAnsi="Arial" w:cs="Arial"/>
        </w:rPr>
        <w:t>)</w:t>
      </w:r>
    </w:p>
    <w:p w:rsidR="00E35DF0" w:rsidRPr="00374CA8" w:rsidRDefault="005B7629" w:rsidP="00EB1449">
      <w:pPr>
        <w:spacing w:line="240" w:lineRule="auto"/>
        <w:ind w:left="708"/>
        <w:jc w:val="both"/>
        <w:rPr>
          <w:rFonts w:ascii="Arial" w:hAnsi="Arial" w:cs="Arial"/>
        </w:rPr>
      </w:pPr>
      <w:r w:rsidRPr="00374CA8">
        <w:rPr>
          <w:rFonts w:ascii="Arial" w:hAnsi="Arial" w:cs="Arial"/>
        </w:rPr>
        <w:t>Un</w:t>
      </w:r>
      <w:r w:rsidR="00E35DF0" w:rsidRPr="00374CA8">
        <w:rPr>
          <w:rFonts w:ascii="Arial" w:hAnsi="Arial" w:cs="Arial"/>
        </w:rPr>
        <w:t xml:space="preserve"> negocio de disposición, que tiene, a efectos de capacidad y demás, el tratamiento de las enajenaciones de inmuebles.</w:t>
      </w:r>
    </w:p>
    <w:p w:rsidR="00E35DF0" w:rsidRPr="00374CA8" w:rsidRDefault="005B7629" w:rsidP="00EB1449">
      <w:pPr>
        <w:spacing w:line="240" w:lineRule="auto"/>
        <w:jc w:val="both"/>
        <w:rPr>
          <w:rFonts w:ascii="Arial" w:hAnsi="Arial" w:cs="Arial"/>
        </w:rPr>
      </w:pPr>
      <w:r w:rsidRPr="00374CA8">
        <w:rPr>
          <w:rFonts w:ascii="Arial" w:hAnsi="Arial" w:cs="Arial"/>
        </w:rPr>
        <w:t>POSIBLES MANIFESTACIONES:</w:t>
      </w:r>
    </w:p>
    <w:p w:rsidR="00AA4CE5" w:rsidRDefault="005B7629" w:rsidP="00EB1449">
      <w:pPr>
        <w:spacing w:line="240" w:lineRule="auto"/>
        <w:jc w:val="both"/>
        <w:rPr>
          <w:rFonts w:ascii="Arial" w:hAnsi="Arial" w:cs="Arial"/>
        </w:rPr>
      </w:pPr>
      <w:r w:rsidRPr="00374CA8">
        <w:rPr>
          <w:rFonts w:ascii="Arial" w:hAnsi="Arial" w:cs="Arial"/>
          <w:b/>
          <w:bCs/>
        </w:rPr>
        <w:t xml:space="preserve">Modificación de entidades hipotecarias. </w:t>
      </w:r>
      <w:r w:rsidRPr="00374CA8">
        <w:rPr>
          <w:rFonts w:ascii="Arial" w:hAnsi="Arial" w:cs="Arial"/>
        </w:rPr>
        <w:t> </w:t>
      </w:r>
      <w:proofErr w:type="spellStart"/>
      <w:r w:rsidRPr="00374CA8">
        <w:rPr>
          <w:rFonts w:ascii="Arial" w:hAnsi="Arial" w:cs="Arial"/>
        </w:rPr>
        <w:t>Arts</w:t>
      </w:r>
      <w:proofErr w:type="spellEnd"/>
      <w:r w:rsidRPr="00374CA8">
        <w:rPr>
          <w:rFonts w:ascii="Arial" w:hAnsi="Arial" w:cs="Arial"/>
        </w:rPr>
        <w:t xml:space="preserve"> 45 y </w:t>
      </w:r>
      <w:proofErr w:type="spellStart"/>
      <w:r w:rsidRPr="00374CA8">
        <w:rPr>
          <w:rFonts w:ascii="Arial" w:hAnsi="Arial" w:cs="Arial"/>
        </w:rPr>
        <w:t>ss</w:t>
      </w:r>
      <w:proofErr w:type="spellEnd"/>
      <w:r w:rsidRPr="00374CA8">
        <w:rPr>
          <w:rFonts w:ascii="Arial" w:hAnsi="Arial" w:cs="Arial"/>
        </w:rPr>
        <w:t xml:space="preserve"> RH</w:t>
      </w:r>
    </w:p>
    <w:p w:rsidR="00AA4CE5" w:rsidRDefault="005B7629" w:rsidP="00EB1449">
      <w:pPr>
        <w:spacing w:line="240" w:lineRule="auto"/>
        <w:jc w:val="both"/>
        <w:rPr>
          <w:rFonts w:ascii="Arial" w:hAnsi="Arial" w:cs="Arial"/>
        </w:rPr>
      </w:pPr>
      <w:r w:rsidRPr="00374CA8">
        <w:rPr>
          <w:rFonts w:ascii="Arial" w:hAnsi="Arial" w:cs="Arial"/>
          <w:b/>
          <w:bCs/>
        </w:rPr>
        <w:t xml:space="preserve">Constitución unilateral de hipoteca. </w:t>
      </w:r>
      <w:r w:rsidRPr="00374CA8">
        <w:rPr>
          <w:rFonts w:ascii="Arial" w:hAnsi="Arial" w:cs="Arial"/>
        </w:rPr>
        <w:t xml:space="preserve">Art. 141 LH </w:t>
      </w:r>
    </w:p>
    <w:p w:rsidR="005B7629" w:rsidRPr="00374CA8" w:rsidRDefault="00AA4CE5" w:rsidP="00EB1449">
      <w:pPr>
        <w:spacing w:line="240" w:lineRule="auto"/>
        <w:jc w:val="both"/>
        <w:rPr>
          <w:rFonts w:ascii="Arial" w:hAnsi="Arial" w:cs="Arial"/>
        </w:rPr>
      </w:pPr>
      <w:r>
        <w:rPr>
          <w:rFonts w:ascii="Arial" w:hAnsi="Arial" w:cs="Arial"/>
          <w:b/>
          <w:bCs/>
        </w:rPr>
        <w:lastRenderedPageBreak/>
        <w:t>P</w:t>
      </w:r>
      <w:r w:rsidR="005B7629" w:rsidRPr="00374CA8">
        <w:rPr>
          <w:rFonts w:ascii="Arial" w:hAnsi="Arial" w:cs="Arial"/>
          <w:b/>
          <w:bCs/>
        </w:rPr>
        <w:t xml:space="preserve">osposición unilateral de rango. </w:t>
      </w:r>
      <w:r w:rsidR="005B7629" w:rsidRPr="00374CA8">
        <w:rPr>
          <w:rFonts w:ascii="Arial" w:hAnsi="Arial" w:cs="Arial"/>
        </w:rPr>
        <w:t>Art. 241 RH. Lo rechaza la RDGRN de 4 de noviembre de 2000. </w:t>
      </w:r>
    </w:p>
    <w:p w:rsidR="00D57E57" w:rsidRPr="00374CA8" w:rsidRDefault="00D57E57" w:rsidP="00EB1449">
      <w:pPr>
        <w:spacing w:line="240" w:lineRule="auto"/>
        <w:jc w:val="both"/>
        <w:rPr>
          <w:rFonts w:ascii="Arial" w:hAnsi="Arial" w:cs="Arial"/>
        </w:rPr>
      </w:pPr>
      <w:r w:rsidRPr="00374CA8">
        <w:rPr>
          <w:rFonts w:ascii="Arial" w:hAnsi="Arial" w:cs="Arial"/>
          <w:b/>
        </w:rPr>
        <w:t>Renuncia a la anotación preventiva</w:t>
      </w:r>
      <w:r w:rsidRPr="00374CA8">
        <w:rPr>
          <w:rFonts w:ascii="Arial" w:hAnsi="Arial" w:cs="Arial"/>
        </w:rPr>
        <w:t xml:space="preserve"> 206 y 208 RH</w:t>
      </w:r>
    </w:p>
    <w:p w:rsidR="005B7629" w:rsidRPr="00374CA8" w:rsidRDefault="003F0D59" w:rsidP="00EB1449">
      <w:pPr>
        <w:spacing w:line="240" w:lineRule="auto"/>
        <w:jc w:val="both"/>
        <w:rPr>
          <w:rFonts w:ascii="Arial" w:hAnsi="Arial" w:cs="Arial"/>
        </w:rPr>
      </w:pPr>
      <w:r>
        <w:rPr>
          <w:rFonts w:ascii="Arial" w:hAnsi="Arial" w:cs="Arial"/>
          <w:b/>
          <w:bCs/>
        </w:rPr>
        <w:t>C</w:t>
      </w:r>
      <w:r w:rsidR="005B7629" w:rsidRPr="00374CA8">
        <w:rPr>
          <w:rFonts w:ascii="Arial" w:hAnsi="Arial" w:cs="Arial"/>
          <w:b/>
          <w:bCs/>
        </w:rPr>
        <w:t>ancelaciones.</w:t>
      </w:r>
      <w:r w:rsidR="005B7629" w:rsidRPr="00374CA8">
        <w:rPr>
          <w:rFonts w:ascii="Arial" w:hAnsi="Arial" w:cs="Arial"/>
        </w:rPr>
        <w:t xml:space="preserve"> Es el supuesto más discutido.</w:t>
      </w:r>
    </w:p>
    <w:p w:rsidR="005B7629" w:rsidRPr="00374CA8" w:rsidRDefault="005B7629" w:rsidP="007D08AE">
      <w:pPr>
        <w:spacing w:line="240" w:lineRule="auto"/>
        <w:ind w:left="720"/>
        <w:jc w:val="both"/>
        <w:rPr>
          <w:rFonts w:ascii="Arial" w:hAnsi="Arial" w:cs="Arial"/>
        </w:rPr>
      </w:pPr>
      <w:r w:rsidRPr="00374CA8">
        <w:rPr>
          <w:rFonts w:ascii="Arial" w:hAnsi="Arial" w:cs="Arial"/>
          <w:b/>
          <w:bCs/>
        </w:rPr>
        <w:t>82</w:t>
      </w:r>
      <w:r w:rsidRPr="00374CA8">
        <w:rPr>
          <w:rFonts w:ascii="Arial" w:hAnsi="Arial" w:cs="Arial"/>
        </w:rPr>
        <w:t xml:space="preserve"> LH: </w:t>
      </w:r>
      <w:r w:rsidRPr="00374CA8">
        <w:rPr>
          <w:rFonts w:ascii="Arial" w:hAnsi="Arial" w:cs="Arial"/>
          <w:b/>
        </w:rPr>
        <w:t>“</w:t>
      </w:r>
      <w:r w:rsidRPr="00AA4CE5">
        <w:rPr>
          <w:rFonts w:ascii="Arial" w:hAnsi="Arial" w:cs="Arial"/>
          <w:b/>
          <w:i/>
          <w:color w:val="808080" w:themeColor="background1" w:themeShade="80"/>
        </w:rPr>
        <w:t xml:space="preserve">Las inscripciones o anotaciones preventivas hechas en virtud de escritura pública, no se cancelarán sino por sentencia contra la cual no se halle pendiente recurso de casación, o por otra escritura o documento auténtico, en el cual preste su </w:t>
      </w:r>
      <w:r w:rsidR="003F0D59" w:rsidRPr="00AA4CE5">
        <w:rPr>
          <w:rFonts w:ascii="Arial" w:hAnsi="Arial" w:cs="Arial"/>
          <w:b/>
          <w:i/>
          <w:color w:val="808080" w:themeColor="background1" w:themeShade="80"/>
        </w:rPr>
        <w:t>CONSENTIMIENTO PARA LA CANCELACIÓN</w:t>
      </w:r>
      <w:r w:rsidRPr="00AA4CE5">
        <w:rPr>
          <w:rFonts w:ascii="Arial" w:hAnsi="Arial" w:cs="Arial"/>
          <w:b/>
          <w:i/>
          <w:color w:val="808080" w:themeColor="background1" w:themeShade="80"/>
        </w:rPr>
        <w:t xml:space="preserve"> la persona a cuyo favor se hubiese hecho la inscripción o anotación o sus causahabientes o representantes legítimos</w:t>
      </w:r>
      <w:r w:rsidRPr="00AA4CE5">
        <w:rPr>
          <w:rFonts w:ascii="Arial" w:hAnsi="Arial" w:cs="Arial"/>
          <w:i/>
          <w:color w:val="808080" w:themeColor="background1" w:themeShade="80"/>
        </w:rPr>
        <w:t>”</w:t>
      </w:r>
      <w:r w:rsidRPr="00374CA8">
        <w:rPr>
          <w:rFonts w:ascii="Arial" w:hAnsi="Arial" w:cs="Arial"/>
        </w:rPr>
        <w:t>.</w:t>
      </w:r>
    </w:p>
    <w:p w:rsidR="00D24071" w:rsidRPr="00374CA8" w:rsidRDefault="00D24071" w:rsidP="00EB1449">
      <w:pPr>
        <w:spacing w:line="240" w:lineRule="auto"/>
        <w:jc w:val="both"/>
        <w:rPr>
          <w:rFonts w:ascii="Arial" w:hAnsi="Arial" w:cs="Arial"/>
        </w:rPr>
      </w:pPr>
      <w:r w:rsidRPr="00374CA8">
        <w:rPr>
          <w:rFonts w:ascii="Arial" w:hAnsi="Arial" w:cs="Arial"/>
        </w:rPr>
        <w:t>OPINIONES y JURISPRUDENCIA</w:t>
      </w:r>
    </w:p>
    <w:p w:rsidR="005B7629" w:rsidRPr="00374CA8" w:rsidRDefault="00D24071" w:rsidP="00EB1449">
      <w:pPr>
        <w:spacing w:line="240" w:lineRule="auto"/>
        <w:jc w:val="both"/>
        <w:rPr>
          <w:rFonts w:ascii="Arial" w:hAnsi="Arial" w:cs="Arial"/>
        </w:rPr>
      </w:pPr>
      <w:r w:rsidRPr="00374CA8">
        <w:rPr>
          <w:rFonts w:ascii="Arial" w:hAnsi="Arial" w:cs="Arial"/>
        </w:rPr>
        <w:t xml:space="preserve">- </w:t>
      </w:r>
      <w:r w:rsidR="005B7629" w:rsidRPr="00374CA8">
        <w:rPr>
          <w:rFonts w:ascii="Arial" w:hAnsi="Arial" w:cs="Arial"/>
        </w:rPr>
        <w:t xml:space="preserve">Para </w:t>
      </w:r>
      <w:r w:rsidR="003F0D59">
        <w:rPr>
          <w:rFonts w:ascii="Arial" w:hAnsi="Arial" w:cs="Arial"/>
        </w:rPr>
        <w:t>Jerónimo y sus seguidores</w:t>
      </w:r>
      <w:r w:rsidR="005B7629" w:rsidRPr="00374CA8">
        <w:rPr>
          <w:rFonts w:ascii="Arial" w:hAnsi="Arial" w:cs="Arial"/>
        </w:rPr>
        <w:t xml:space="preserve">, </w:t>
      </w:r>
      <w:r w:rsidR="005B7629" w:rsidRPr="00374CA8">
        <w:rPr>
          <w:rFonts w:ascii="Arial" w:hAnsi="Arial" w:cs="Arial"/>
          <w:bCs/>
        </w:rPr>
        <w:t>estas cancelaciones</w:t>
      </w:r>
      <w:r w:rsidR="005B7629" w:rsidRPr="00374CA8">
        <w:rPr>
          <w:rFonts w:ascii="Arial" w:hAnsi="Arial" w:cs="Arial"/>
          <w:b/>
          <w:bCs/>
        </w:rPr>
        <w:t xml:space="preserve"> no precisan la expresión de causa</w:t>
      </w:r>
      <w:r w:rsidR="003F0D59">
        <w:rPr>
          <w:rFonts w:ascii="Arial" w:hAnsi="Arial" w:cs="Arial"/>
        </w:rPr>
        <w:t xml:space="preserve">, </w:t>
      </w:r>
      <w:r w:rsidR="005B7629" w:rsidRPr="00374CA8">
        <w:rPr>
          <w:rFonts w:ascii="Arial" w:hAnsi="Arial" w:cs="Arial"/>
        </w:rPr>
        <w:t>sin que por ello se conviertan en negocios abstractos</w:t>
      </w:r>
      <w:r w:rsidR="003F0D59">
        <w:rPr>
          <w:rFonts w:ascii="Arial" w:hAnsi="Arial" w:cs="Arial"/>
        </w:rPr>
        <w:t xml:space="preserve"> (</w:t>
      </w:r>
      <w:r w:rsidR="005B7629" w:rsidRPr="00374CA8">
        <w:rPr>
          <w:rFonts w:ascii="Arial" w:hAnsi="Arial" w:cs="Arial"/>
        </w:rPr>
        <w:t>si se demuestra que el consentimiento carece de causa</w:t>
      </w:r>
      <w:r w:rsidR="00D57E57" w:rsidRPr="00374CA8">
        <w:rPr>
          <w:rFonts w:ascii="Arial" w:hAnsi="Arial" w:cs="Arial"/>
        </w:rPr>
        <w:t xml:space="preserve"> o su causa es ilícita</w:t>
      </w:r>
      <w:r w:rsidR="005B7629" w:rsidRPr="00374CA8">
        <w:rPr>
          <w:rFonts w:ascii="Arial" w:hAnsi="Arial" w:cs="Arial"/>
        </w:rPr>
        <w:t>, el asiento será nulo</w:t>
      </w:r>
      <w:r w:rsidR="003F0D59">
        <w:rPr>
          <w:rFonts w:ascii="Arial" w:hAnsi="Arial" w:cs="Arial"/>
        </w:rPr>
        <w:t>)</w:t>
      </w:r>
      <w:r w:rsidR="005B7629" w:rsidRPr="00374CA8">
        <w:rPr>
          <w:rFonts w:ascii="Arial" w:hAnsi="Arial" w:cs="Arial"/>
        </w:rPr>
        <w:t>.</w:t>
      </w:r>
    </w:p>
    <w:p w:rsidR="005B7629" w:rsidRPr="00374CA8" w:rsidRDefault="00D24071" w:rsidP="00EB1449">
      <w:pPr>
        <w:spacing w:line="240" w:lineRule="auto"/>
        <w:jc w:val="both"/>
        <w:rPr>
          <w:rFonts w:ascii="Arial" w:hAnsi="Arial" w:cs="Arial"/>
        </w:rPr>
      </w:pPr>
      <w:r w:rsidRPr="00374CA8">
        <w:rPr>
          <w:rFonts w:ascii="Arial" w:hAnsi="Arial" w:cs="Arial"/>
        </w:rPr>
        <w:t>-</w:t>
      </w:r>
      <w:r w:rsidR="005B7629" w:rsidRPr="00374CA8">
        <w:rPr>
          <w:rFonts w:ascii="Arial" w:hAnsi="Arial" w:cs="Arial"/>
        </w:rPr>
        <w:t xml:space="preserve"> La mayoría, en base a la interpretación sistemática de los </w:t>
      </w:r>
      <w:r w:rsidR="003F0D59">
        <w:rPr>
          <w:rFonts w:ascii="Arial" w:hAnsi="Arial" w:cs="Arial"/>
        </w:rPr>
        <w:t>a</w:t>
      </w:r>
      <w:r w:rsidR="005B7629" w:rsidRPr="00374CA8">
        <w:rPr>
          <w:rFonts w:ascii="Arial" w:hAnsi="Arial" w:cs="Arial"/>
        </w:rPr>
        <w:t>rts. 79, 80 y 99 LH</w:t>
      </w:r>
      <w:r w:rsidRPr="00374CA8">
        <w:rPr>
          <w:rFonts w:ascii="Arial" w:hAnsi="Arial" w:cs="Arial"/>
        </w:rPr>
        <w:t xml:space="preserve"> y 193 RH </w:t>
      </w:r>
      <w:r w:rsidRPr="00374CA8">
        <w:rPr>
          <w:rFonts w:ascii="Arial" w:hAnsi="Arial" w:cs="Arial"/>
          <w:i/>
        </w:rPr>
        <w:t>(La cancelación extensa... contendrá:...  Causa o razón de la cancelación)</w:t>
      </w:r>
      <w:r w:rsidRPr="00374CA8">
        <w:rPr>
          <w:rFonts w:ascii="Arial" w:hAnsi="Arial" w:cs="Arial"/>
        </w:rPr>
        <w:t>,</w:t>
      </w:r>
      <w:r w:rsidR="005B7629" w:rsidRPr="00374CA8">
        <w:rPr>
          <w:rFonts w:ascii="Arial" w:hAnsi="Arial" w:cs="Arial"/>
        </w:rPr>
        <w:t xml:space="preserve"> estima que </w:t>
      </w:r>
      <w:r w:rsidR="005B7629" w:rsidRPr="00374CA8">
        <w:rPr>
          <w:rFonts w:ascii="Arial" w:hAnsi="Arial" w:cs="Arial"/>
          <w:bCs/>
        </w:rPr>
        <w:t xml:space="preserve">el título formal en el que se solicita la modificación registral ha de </w:t>
      </w:r>
      <w:r w:rsidR="005B7629" w:rsidRPr="00374CA8">
        <w:rPr>
          <w:rFonts w:ascii="Arial" w:hAnsi="Arial" w:cs="Arial"/>
          <w:b/>
          <w:bCs/>
        </w:rPr>
        <w:t>contener necesariamente la causa</w:t>
      </w:r>
      <w:r w:rsidR="005B7629" w:rsidRPr="00374CA8">
        <w:rPr>
          <w:rFonts w:ascii="Arial" w:hAnsi="Arial" w:cs="Arial"/>
        </w:rPr>
        <w:t xml:space="preserve"> de la extinción del derecho a que se refiera el asiento que se pretende cancelar.</w:t>
      </w:r>
    </w:p>
    <w:p w:rsidR="003F0D59" w:rsidRPr="00374CA8" w:rsidRDefault="003F0D59" w:rsidP="003F0D59">
      <w:pPr>
        <w:spacing w:line="240" w:lineRule="auto"/>
        <w:ind w:left="360"/>
        <w:jc w:val="both"/>
        <w:rPr>
          <w:rFonts w:ascii="Arial" w:hAnsi="Arial" w:cs="Arial"/>
        </w:rPr>
      </w:pPr>
      <w:r w:rsidRPr="00374CA8">
        <w:rPr>
          <w:rFonts w:ascii="Arial" w:hAnsi="Arial" w:cs="Arial"/>
        </w:rPr>
        <w:t xml:space="preserve">La finalidad del 82 LH no </w:t>
      </w:r>
      <w:r>
        <w:rPr>
          <w:rFonts w:ascii="Arial" w:hAnsi="Arial" w:cs="Arial"/>
        </w:rPr>
        <w:t>sería</w:t>
      </w:r>
      <w:r w:rsidRPr="00374CA8">
        <w:rPr>
          <w:rFonts w:ascii="Arial" w:hAnsi="Arial" w:cs="Arial"/>
        </w:rPr>
        <w:t xml:space="preserve"> introducir un disonante y excepcional consentimiento formal, sino señalar que título es necesario en cada caso para obtener una cancelación.</w:t>
      </w:r>
    </w:p>
    <w:p w:rsidR="005B7629" w:rsidRPr="00374CA8" w:rsidRDefault="005B7629" w:rsidP="00EB1449">
      <w:pPr>
        <w:spacing w:line="240" w:lineRule="auto"/>
        <w:ind w:left="360"/>
        <w:jc w:val="both"/>
        <w:rPr>
          <w:rFonts w:ascii="Arial" w:hAnsi="Arial" w:cs="Arial"/>
        </w:rPr>
      </w:pPr>
      <w:r w:rsidRPr="00374CA8">
        <w:rPr>
          <w:rFonts w:ascii="Arial" w:hAnsi="Arial" w:cs="Arial"/>
        </w:rPr>
        <w:t xml:space="preserve">La DGRN </w:t>
      </w:r>
      <w:r w:rsidR="003F0D59">
        <w:rPr>
          <w:rFonts w:ascii="Arial" w:hAnsi="Arial" w:cs="Arial"/>
        </w:rPr>
        <w:t>27 septiembre 1999 ya citada</w:t>
      </w:r>
      <w:r w:rsidRPr="00374CA8">
        <w:rPr>
          <w:rFonts w:ascii="Arial" w:hAnsi="Arial" w:cs="Arial"/>
        </w:rPr>
        <w:t>.</w:t>
      </w:r>
    </w:p>
    <w:p w:rsidR="009510CC" w:rsidRPr="00374CA8" w:rsidRDefault="00D57E57" w:rsidP="007B4CA4">
      <w:pPr>
        <w:spacing w:line="240" w:lineRule="auto"/>
        <w:ind w:left="360"/>
        <w:jc w:val="both"/>
        <w:rPr>
          <w:rFonts w:ascii="Arial" w:hAnsi="Arial" w:cs="Arial"/>
        </w:rPr>
      </w:pPr>
      <w:r w:rsidRPr="00374CA8">
        <w:rPr>
          <w:rFonts w:ascii="Arial" w:hAnsi="Arial" w:cs="Arial"/>
        </w:rPr>
        <w:t>L</w:t>
      </w:r>
      <w:r w:rsidR="002F51A6" w:rsidRPr="00374CA8">
        <w:rPr>
          <w:rFonts w:ascii="Arial" w:hAnsi="Arial" w:cs="Arial"/>
        </w:rPr>
        <w:t>os arts.79 y 80 LH señalan taxativamente las causas por las cuales puede practicarse una cancelación.</w:t>
      </w:r>
      <w:r w:rsidRPr="00374CA8">
        <w:rPr>
          <w:rFonts w:ascii="Arial" w:hAnsi="Arial" w:cs="Arial"/>
        </w:rPr>
        <w:t xml:space="preserve"> Bien entendido que, aunque no baste el mero consentimiento formal, si en la escritura se declara unilateralmente por el acreedor hipotecario que la finca quede liberada de toda responsabilidad derivada de la hipoteca, hay que interpretar que estamos ante la </w:t>
      </w:r>
      <w:r w:rsidRPr="00374CA8">
        <w:rPr>
          <w:rFonts w:ascii="Arial" w:hAnsi="Arial" w:cs="Arial"/>
          <w:b/>
          <w:bCs/>
          <w:i/>
          <w:iCs/>
        </w:rPr>
        <w:t xml:space="preserve">abdicación por el titular registral del derecho </w:t>
      </w:r>
      <w:r w:rsidRPr="00AA4CE5">
        <w:rPr>
          <w:rFonts w:ascii="Arial" w:hAnsi="Arial" w:cs="Arial"/>
          <w:bCs/>
          <w:i/>
          <w:iCs/>
        </w:rPr>
        <w:t>real de hipoteca</w:t>
      </w:r>
      <w:r w:rsidRPr="00AA4CE5">
        <w:rPr>
          <w:rFonts w:ascii="Arial" w:hAnsi="Arial" w:cs="Arial"/>
        </w:rPr>
        <w:t xml:space="preserve"> </w:t>
      </w:r>
      <w:r w:rsidRPr="00374CA8">
        <w:rPr>
          <w:rFonts w:ascii="Arial" w:hAnsi="Arial" w:cs="Arial"/>
        </w:rPr>
        <w:t xml:space="preserve">(renuncia de a la hipoteca ex artículo 6.2 </w:t>
      </w:r>
      <w:proofErr w:type="spellStart"/>
      <w:r w:rsidRPr="00374CA8">
        <w:rPr>
          <w:rFonts w:ascii="Arial" w:hAnsi="Arial" w:cs="Arial"/>
        </w:rPr>
        <w:t>Cc</w:t>
      </w:r>
      <w:proofErr w:type="spellEnd"/>
      <w:r w:rsidRPr="00374CA8">
        <w:rPr>
          <w:rFonts w:ascii="Arial" w:hAnsi="Arial" w:cs="Arial"/>
        </w:rPr>
        <w:t xml:space="preserve"> con subsistencia del crédito), causa suficiente para la cancelación (R</w:t>
      </w:r>
      <w:r w:rsidR="00A2547C" w:rsidRPr="00374CA8">
        <w:rPr>
          <w:rFonts w:ascii="Arial" w:hAnsi="Arial" w:cs="Arial"/>
        </w:rPr>
        <w:t>DGRN 2 dic</w:t>
      </w:r>
      <w:r w:rsidRPr="00374CA8">
        <w:rPr>
          <w:rFonts w:ascii="Arial" w:hAnsi="Arial" w:cs="Arial"/>
        </w:rPr>
        <w:t>iembre</w:t>
      </w:r>
      <w:r w:rsidR="00A2547C" w:rsidRPr="00374CA8">
        <w:rPr>
          <w:rFonts w:ascii="Arial" w:hAnsi="Arial" w:cs="Arial"/>
        </w:rPr>
        <w:t xml:space="preserve"> 2000 </w:t>
      </w:r>
      <w:r w:rsidRPr="00374CA8">
        <w:rPr>
          <w:rFonts w:ascii="Arial" w:hAnsi="Arial" w:cs="Arial"/>
        </w:rPr>
        <w:t>y</w:t>
      </w:r>
      <w:r w:rsidR="00A2547C" w:rsidRPr="00374CA8">
        <w:rPr>
          <w:rFonts w:ascii="Arial" w:hAnsi="Arial" w:cs="Arial"/>
        </w:rPr>
        <w:t xml:space="preserve"> 24 sep</w:t>
      </w:r>
      <w:r w:rsidRPr="00374CA8">
        <w:rPr>
          <w:rFonts w:ascii="Arial" w:hAnsi="Arial" w:cs="Arial"/>
        </w:rPr>
        <w:t>tiembre</w:t>
      </w:r>
      <w:r w:rsidR="00A2547C" w:rsidRPr="00374CA8">
        <w:rPr>
          <w:rFonts w:ascii="Arial" w:hAnsi="Arial" w:cs="Arial"/>
        </w:rPr>
        <w:t xml:space="preserve"> 2005</w:t>
      </w:r>
      <w:r w:rsidRPr="00374CA8">
        <w:rPr>
          <w:rFonts w:ascii="Arial" w:hAnsi="Arial" w:cs="Arial"/>
        </w:rPr>
        <w:t>)</w:t>
      </w:r>
      <w:bookmarkStart w:id="0" w:name="_GoBack"/>
      <w:bookmarkEnd w:id="0"/>
    </w:p>
    <w:sectPr w:rsidR="009510CC" w:rsidRPr="00374CA8" w:rsidSect="005D500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1E26" w:rsidRDefault="00781E26" w:rsidP="00374CA8">
      <w:pPr>
        <w:spacing w:after="0" w:line="240" w:lineRule="auto"/>
      </w:pPr>
      <w:r>
        <w:separator/>
      </w:r>
    </w:p>
  </w:endnote>
  <w:endnote w:type="continuationSeparator" w:id="0">
    <w:p w:rsidR="00781E26" w:rsidRDefault="00781E26" w:rsidP="00374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Raavi">
    <w:panose1 w:val="02000500000000000000"/>
    <w:charset w:val="00"/>
    <w:family w:val="swiss"/>
    <w:pitch w:val="variable"/>
    <w:sig w:usb0="0002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1E26" w:rsidRDefault="00781E26" w:rsidP="00374CA8">
      <w:pPr>
        <w:spacing w:after="0" w:line="240" w:lineRule="auto"/>
      </w:pPr>
      <w:r>
        <w:separator/>
      </w:r>
    </w:p>
  </w:footnote>
  <w:footnote w:type="continuationSeparator" w:id="0">
    <w:p w:rsidR="00781E26" w:rsidRDefault="00781E26" w:rsidP="00374C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61ED3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E21314"/>
    <w:multiLevelType w:val="hybridMultilevel"/>
    <w:tmpl w:val="12048DDA"/>
    <w:lvl w:ilvl="0" w:tplc="04B62A66">
      <w:start w:val="1"/>
      <w:numFmt w:val="bullet"/>
      <w:lvlText w:val="-"/>
      <w:lvlJc w:val="left"/>
      <w:pPr>
        <w:ind w:left="420" w:hanging="360"/>
      </w:pPr>
      <w:rPr>
        <w:rFonts w:ascii="Arial" w:eastAsia="Calibri" w:hAnsi="Arial" w:cs="Arial" w:hint="default"/>
      </w:rPr>
    </w:lvl>
    <w:lvl w:ilvl="1" w:tplc="040A0003" w:tentative="1">
      <w:start w:val="1"/>
      <w:numFmt w:val="bullet"/>
      <w:lvlText w:val="o"/>
      <w:lvlJc w:val="left"/>
      <w:pPr>
        <w:ind w:left="1140" w:hanging="360"/>
      </w:pPr>
      <w:rPr>
        <w:rFonts w:ascii="Courier New" w:hAnsi="Courier New" w:hint="default"/>
      </w:rPr>
    </w:lvl>
    <w:lvl w:ilvl="2" w:tplc="040A0005" w:tentative="1">
      <w:start w:val="1"/>
      <w:numFmt w:val="bullet"/>
      <w:lvlText w:val=""/>
      <w:lvlJc w:val="left"/>
      <w:pPr>
        <w:ind w:left="1860" w:hanging="360"/>
      </w:pPr>
      <w:rPr>
        <w:rFonts w:ascii="Wingdings" w:hAnsi="Wingdings" w:hint="default"/>
      </w:rPr>
    </w:lvl>
    <w:lvl w:ilvl="3" w:tplc="040A0001" w:tentative="1">
      <w:start w:val="1"/>
      <w:numFmt w:val="bullet"/>
      <w:lvlText w:val=""/>
      <w:lvlJc w:val="left"/>
      <w:pPr>
        <w:ind w:left="2580" w:hanging="360"/>
      </w:pPr>
      <w:rPr>
        <w:rFonts w:ascii="Symbol" w:hAnsi="Symbol" w:hint="default"/>
      </w:rPr>
    </w:lvl>
    <w:lvl w:ilvl="4" w:tplc="040A0003" w:tentative="1">
      <w:start w:val="1"/>
      <w:numFmt w:val="bullet"/>
      <w:lvlText w:val="o"/>
      <w:lvlJc w:val="left"/>
      <w:pPr>
        <w:ind w:left="3300" w:hanging="360"/>
      </w:pPr>
      <w:rPr>
        <w:rFonts w:ascii="Courier New" w:hAnsi="Courier New" w:hint="default"/>
      </w:rPr>
    </w:lvl>
    <w:lvl w:ilvl="5" w:tplc="040A0005" w:tentative="1">
      <w:start w:val="1"/>
      <w:numFmt w:val="bullet"/>
      <w:lvlText w:val=""/>
      <w:lvlJc w:val="left"/>
      <w:pPr>
        <w:ind w:left="4020" w:hanging="360"/>
      </w:pPr>
      <w:rPr>
        <w:rFonts w:ascii="Wingdings" w:hAnsi="Wingdings" w:hint="default"/>
      </w:rPr>
    </w:lvl>
    <w:lvl w:ilvl="6" w:tplc="040A0001" w:tentative="1">
      <w:start w:val="1"/>
      <w:numFmt w:val="bullet"/>
      <w:lvlText w:val=""/>
      <w:lvlJc w:val="left"/>
      <w:pPr>
        <w:ind w:left="4740" w:hanging="360"/>
      </w:pPr>
      <w:rPr>
        <w:rFonts w:ascii="Symbol" w:hAnsi="Symbol" w:hint="default"/>
      </w:rPr>
    </w:lvl>
    <w:lvl w:ilvl="7" w:tplc="040A0003" w:tentative="1">
      <w:start w:val="1"/>
      <w:numFmt w:val="bullet"/>
      <w:lvlText w:val="o"/>
      <w:lvlJc w:val="left"/>
      <w:pPr>
        <w:ind w:left="5460" w:hanging="360"/>
      </w:pPr>
      <w:rPr>
        <w:rFonts w:ascii="Courier New" w:hAnsi="Courier New" w:hint="default"/>
      </w:rPr>
    </w:lvl>
    <w:lvl w:ilvl="8" w:tplc="040A0005" w:tentative="1">
      <w:start w:val="1"/>
      <w:numFmt w:val="bullet"/>
      <w:lvlText w:val=""/>
      <w:lvlJc w:val="left"/>
      <w:pPr>
        <w:ind w:left="6180" w:hanging="360"/>
      </w:pPr>
      <w:rPr>
        <w:rFonts w:ascii="Wingdings" w:hAnsi="Wingdings" w:hint="default"/>
      </w:rPr>
    </w:lvl>
  </w:abstractNum>
  <w:abstractNum w:abstractNumId="2" w15:restartNumberingAfterBreak="0">
    <w:nsid w:val="1636378C"/>
    <w:multiLevelType w:val="hybridMultilevel"/>
    <w:tmpl w:val="61382102"/>
    <w:lvl w:ilvl="0" w:tplc="0C0A0003">
      <w:start w:val="1"/>
      <w:numFmt w:val="bullet"/>
      <w:lvlText w:val="o"/>
      <w:lvlJc w:val="left"/>
      <w:pPr>
        <w:ind w:left="644" w:hanging="360"/>
      </w:pPr>
      <w:rPr>
        <w:rFonts w:ascii="Courier New" w:hAnsi="Courier New" w:cs="Courier New"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3" w15:restartNumberingAfterBreak="0">
    <w:nsid w:val="2BB57039"/>
    <w:multiLevelType w:val="multilevel"/>
    <w:tmpl w:val="EECA7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355D71"/>
    <w:multiLevelType w:val="hybridMultilevel"/>
    <w:tmpl w:val="1A523A86"/>
    <w:lvl w:ilvl="0" w:tplc="C1D245AA">
      <w:start w:val="1"/>
      <w:numFmt w:val="bullet"/>
      <w:lvlText w:val="-"/>
      <w:lvlJc w:val="left"/>
      <w:pPr>
        <w:ind w:left="1572" w:hanging="360"/>
      </w:pPr>
      <w:rPr>
        <w:rFonts w:ascii="Raavi" w:hAnsi="Raavi" w:hint="default"/>
      </w:rPr>
    </w:lvl>
    <w:lvl w:ilvl="1" w:tplc="0C0A0003" w:tentative="1">
      <w:start w:val="1"/>
      <w:numFmt w:val="bullet"/>
      <w:lvlText w:val="o"/>
      <w:lvlJc w:val="left"/>
      <w:pPr>
        <w:ind w:left="2292" w:hanging="360"/>
      </w:pPr>
      <w:rPr>
        <w:rFonts w:ascii="Courier New" w:hAnsi="Courier New" w:cs="Courier New" w:hint="default"/>
      </w:rPr>
    </w:lvl>
    <w:lvl w:ilvl="2" w:tplc="0C0A0005" w:tentative="1">
      <w:start w:val="1"/>
      <w:numFmt w:val="bullet"/>
      <w:lvlText w:val=""/>
      <w:lvlJc w:val="left"/>
      <w:pPr>
        <w:ind w:left="3012" w:hanging="360"/>
      </w:pPr>
      <w:rPr>
        <w:rFonts w:ascii="Wingdings" w:hAnsi="Wingdings" w:hint="default"/>
      </w:rPr>
    </w:lvl>
    <w:lvl w:ilvl="3" w:tplc="0C0A0001" w:tentative="1">
      <w:start w:val="1"/>
      <w:numFmt w:val="bullet"/>
      <w:lvlText w:val=""/>
      <w:lvlJc w:val="left"/>
      <w:pPr>
        <w:ind w:left="3732" w:hanging="360"/>
      </w:pPr>
      <w:rPr>
        <w:rFonts w:ascii="Symbol" w:hAnsi="Symbol" w:hint="default"/>
      </w:rPr>
    </w:lvl>
    <w:lvl w:ilvl="4" w:tplc="0C0A0003" w:tentative="1">
      <w:start w:val="1"/>
      <w:numFmt w:val="bullet"/>
      <w:lvlText w:val="o"/>
      <w:lvlJc w:val="left"/>
      <w:pPr>
        <w:ind w:left="4452" w:hanging="360"/>
      </w:pPr>
      <w:rPr>
        <w:rFonts w:ascii="Courier New" w:hAnsi="Courier New" w:cs="Courier New" w:hint="default"/>
      </w:rPr>
    </w:lvl>
    <w:lvl w:ilvl="5" w:tplc="0C0A0005" w:tentative="1">
      <w:start w:val="1"/>
      <w:numFmt w:val="bullet"/>
      <w:lvlText w:val=""/>
      <w:lvlJc w:val="left"/>
      <w:pPr>
        <w:ind w:left="5172" w:hanging="360"/>
      </w:pPr>
      <w:rPr>
        <w:rFonts w:ascii="Wingdings" w:hAnsi="Wingdings" w:hint="default"/>
      </w:rPr>
    </w:lvl>
    <w:lvl w:ilvl="6" w:tplc="0C0A0001" w:tentative="1">
      <w:start w:val="1"/>
      <w:numFmt w:val="bullet"/>
      <w:lvlText w:val=""/>
      <w:lvlJc w:val="left"/>
      <w:pPr>
        <w:ind w:left="5892" w:hanging="360"/>
      </w:pPr>
      <w:rPr>
        <w:rFonts w:ascii="Symbol" w:hAnsi="Symbol" w:hint="default"/>
      </w:rPr>
    </w:lvl>
    <w:lvl w:ilvl="7" w:tplc="0C0A0003" w:tentative="1">
      <w:start w:val="1"/>
      <w:numFmt w:val="bullet"/>
      <w:lvlText w:val="o"/>
      <w:lvlJc w:val="left"/>
      <w:pPr>
        <w:ind w:left="6612" w:hanging="360"/>
      </w:pPr>
      <w:rPr>
        <w:rFonts w:ascii="Courier New" w:hAnsi="Courier New" w:cs="Courier New" w:hint="default"/>
      </w:rPr>
    </w:lvl>
    <w:lvl w:ilvl="8" w:tplc="0C0A0005" w:tentative="1">
      <w:start w:val="1"/>
      <w:numFmt w:val="bullet"/>
      <w:lvlText w:val=""/>
      <w:lvlJc w:val="left"/>
      <w:pPr>
        <w:ind w:left="7332" w:hanging="360"/>
      </w:pPr>
      <w:rPr>
        <w:rFonts w:ascii="Wingdings" w:hAnsi="Wingdings" w:hint="default"/>
      </w:rPr>
    </w:lvl>
  </w:abstractNum>
  <w:abstractNum w:abstractNumId="5" w15:restartNumberingAfterBreak="0">
    <w:nsid w:val="522F2246"/>
    <w:multiLevelType w:val="hybridMultilevel"/>
    <w:tmpl w:val="06845E50"/>
    <w:lvl w:ilvl="0" w:tplc="0C0A000F">
      <w:start w:val="1"/>
      <w:numFmt w:val="decimal"/>
      <w:lvlText w:val="%1."/>
      <w:lvlJc w:val="left"/>
      <w:pPr>
        <w:tabs>
          <w:tab w:val="num" w:pos="780"/>
        </w:tabs>
        <w:ind w:left="780" w:hanging="360"/>
      </w:pPr>
    </w:lvl>
    <w:lvl w:ilvl="1" w:tplc="0C0A0019" w:tentative="1">
      <w:start w:val="1"/>
      <w:numFmt w:val="lowerLetter"/>
      <w:lvlText w:val="%2."/>
      <w:lvlJc w:val="left"/>
      <w:pPr>
        <w:tabs>
          <w:tab w:val="num" w:pos="1500"/>
        </w:tabs>
        <w:ind w:left="1500" w:hanging="360"/>
      </w:pPr>
    </w:lvl>
    <w:lvl w:ilvl="2" w:tplc="0C0A001B" w:tentative="1">
      <w:start w:val="1"/>
      <w:numFmt w:val="lowerRoman"/>
      <w:lvlText w:val="%3."/>
      <w:lvlJc w:val="right"/>
      <w:pPr>
        <w:tabs>
          <w:tab w:val="num" w:pos="2220"/>
        </w:tabs>
        <w:ind w:left="2220" w:hanging="180"/>
      </w:pPr>
    </w:lvl>
    <w:lvl w:ilvl="3" w:tplc="0C0A000F" w:tentative="1">
      <w:start w:val="1"/>
      <w:numFmt w:val="decimal"/>
      <w:lvlText w:val="%4."/>
      <w:lvlJc w:val="left"/>
      <w:pPr>
        <w:tabs>
          <w:tab w:val="num" w:pos="2940"/>
        </w:tabs>
        <w:ind w:left="2940" w:hanging="360"/>
      </w:pPr>
    </w:lvl>
    <w:lvl w:ilvl="4" w:tplc="0C0A0019" w:tentative="1">
      <w:start w:val="1"/>
      <w:numFmt w:val="lowerLetter"/>
      <w:lvlText w:val="%5."/>
      <w:lvlJc w:val="left"/>
      <w:pPr>
        <w:tabs>
          <w:tab w:val="num" w:pos="3660"/>
        </w:tabs>
        <w:ind w:left="3660" w:hanging="360"/>
      </w:pPr>
    </w:lvl>
    <w:lvl w:ilvl="5" w:tplc="0C0A001B" w:tentative="1">
      <w:start w:val="1"/>
      <w:numFmt w:val="lowerRoman"/>
      <w:lvlText w:val="%6."/>
      <w:lvlJc w:val="right"/>
      <w:pPr>
        <w:tabs>
          <w:tab w:val="num" w:pos="4380"/>
        </w:tabs>
        <w:ind w:left="4380" w:hanging="180"/>
      </w:pPr>
    </w:lvl>
    <w:lvl w:ilvl="6" w:tplc="0C0A000F" w:tentative="1">
      <w:start w:val="1"/>
      <w:numFmt w:val="decimal"/>
      <w:lvlText w:val="%7."/>
      <w:lvlJc w:val="left"/>
      <w:pPr>
        <w:tabs>
          <w:tab w:val="num" w:pos="5100"/>
        </w:tabs>
        <w:ind w:left="5100" w:hanging="360"/>
      </w:pPr>
    </w:lvl>
    <w:lvl w:ilvl="7" w:tplc="0C0A0019" w:tentative="1">
      <w:start w:val="1"/>
      <w:numFmt w:val="lowerLetter"/>
      <w:lvlText w:val="%8."/>
      <w:lvlJc w:val="left"/>
      <w:pPr>
        <w:tabs>
          <w:tab w:val="num" w:pos="5820"/>
        </w:tabs>
        <w:ind w:left="5820" w:hanging="360"/>
      </w:pPr>
    </w:lvl>
    <w:lvl w:ilvl="8" w:tplc="0C0A001B" w:tentative="1">
      <w:start w:val="1"/>
      <w:numFmt w:val="lowerRoman"/>
      <w:lvlText w:val="%9."/>
      <w:lvlJc w:val="right"/>
      <w:pPr>
        <w:tabs>
          <w:tab w:val="num" w:pos="6540"/>
        </w:tabs>
        <w:ind w:left="6540" w:hanging="180"/>
      </w:pPr>
    </w:lvl>
  </w:abstractNum>
  <w:abstractNum w:abstractNumId="6" w15:restartNumberingAfterBreak="0">
    <w:nsid w:val="607B14D8"/>
    <w:multiLevelType w:val="hybridMultilevel"/>
    <w:tmpl w:val="C0BEEF94"/>
    <w:lvl w:ilvl="0" w:tplc="80BC4CBC">
      <w:start w:val="1"/>
      <w:numFmt w:val="decimal"/>
      <w:lvlText w:val="%1)"/>
      <w:lvlJc w:val="left"/>
      <w:pPr>
        <w:ind w:left="502" w:hanging="360"/>
      </w:pPr>
      <w:rPr>
        <w:rFonts w:hint="default"/>
        <w:b/>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7" w15:restartNumberingAfterBreak="0">
    <w:nsid w:val="61B77EB7"/>
    <w:multiLevelType w:val="hybridMultilevel"/>
    <w:tmpl w:val="0DB08F04"/>
    <w:lvl w:ilvl="0" w:tplc="0C0A0003">
      <w:start w:val="1"/>
      <w:numFmt w:val="bullet"/>
      <w:lvlText w:val="o"/>
      <w:lvlJc w:val="left"/>
      <w:pPr>
        <w:ind w:left="1004" w:hanging="360"/>
      </w:pPr>
      <w:rPr>
        <w:rFonts w:ascii="Courier New" w:hAnsi="Courier New" w:cs="Courier New"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8" w15:restartNumberingAfterBreak="0">
    <w:nsid w:val="6AA91691"/>
    <w:multiLevelType w:val="multilevel"/>
    <w:tmpl w:val="E2149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5"/>
  </w:num>
  <w:num w:numId="4">
    <w:abstractNumId w:val="1"/>
  </w:num>
  <w:num w:numId="5">
    <w:abstractNumId w:val="8"/>
  </w:num>
  <w:num w:numId="6">
    <w:abstractNumId w:val="3"/>
  </w:num>
  <w:num w:numId="7">
    <w:abstractNumId w:val="4"/>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169"/>
    <w:rsid w:val="00000125"/>
    <w:rsid w:val="0002222B"/>
    <w:rsid w:val="00084F7B"/>
    <w:rsid w:val="000A6DB9"/>
    <w:rsid w:val="000C0144"/>
    <w:rsid w:val="000E0A7A"/>
    <w:rsid w:val="000F1480"/>
    <w:rsid w:val="00121E3B"/>
    <w:rsid w:val="00136DAC"/>
    <w:rsid w:val="00150169"/>
    <w:rsid w:val="00210EE1"/>
    <w:rsid w:val="00284BB3"/>
    <w:rsid w:val="002A0A33"/>
    <w:rsid w:val="002D0333"/>
    <w:rsid w:val="002F51A6"/>
    <w:rsid w:val="00302CB3"/>
    <w:rsid w:val="00322BCC"/>
    <w:rsid w:val="00374CA8"/>
    <w:rsid w:val="003F0D59"/>
    <w:rsid w:val="00416FD1"/>
    <w:rsid w:val="00472A14"/>
    <w:rsid w:val="00492125"/>
    <w:rsid w:val="0049524F"/>
    <w:rsid w:val="004A2093"/>
    <w:rsid w:val="004A3871"/>
    <w:rsid w:val="00521F88"/>
    <w:rsid w:val="00530669"/>
    <w:rsid w:val="00531FDD"/>
    <w:rsid w:val="00540A9E"/>
    <w:rsid w:val="005B0FB1"/>
    <w:rsid w:val="005B7629"/>
    <w:rsid w:val="005D5003"/>
    <w:rsid w:val="005F72A9"/>
    <w:rsid w:val="0060515A"/>
    <w:rsid w:val="00632FF3"/>
    <w:rsid w:val="00684D88"/>
    <w:rsid w:val="00694805"/>
    <w:rsid w:val="006F2BB2"/>
    <w:rsid w:val="007303D6"/>
    <w:rsid w:val="00781E26"/>
    <w:rsid w:val="007A7DA3"/>
    <w:rsid w:val="007B4CA4"/>
    <w:rsid w:val="007D08AE"/>
    <w:rsid w:val="00822BFF"/>
    <w:rsid w:val="00896E1E"/>
    <w:rsid w:val="0090334F"/>
    <w:rsid w:val="00907494"/>
    <w:rsid w:val="009510CC"/>
    <w:rsid w:val="0096302A"/>
    <w:rsid w:val="009B1F41"/>
    <w:rsid w:val="009B33CD"/>
    <w:rsid w:val="009D047C"/>
    <w:rsid w:val="009F08A4"/>
    <w:rsid w:val="00A2547C"/>
    <w:rsid w:val="00A86A11"/>
    <w:rsid w:val="00A9042F"/>
    <w:rsid w:val="00AA3683"/>
    <w:rsid w:val="00AA4CE5"/>
    <w:rsid w:val="00AF704F"/>
    <w:rsid w:val="00B24B5A"/>
    <w:rsid w:val="00B417D8"/>
    <w:rsid w:val="00B46B2B"/>
    <w:rsid w:val="00BB3653"/>
    <w:rsid w:val="00BC4510"/>
    <w:rsid w:val="00C2414F"/>
    <w:rsid w:val="00C93167"/>
    <w:rsid w:val="00CD3B50"/>
    <w:rsid w:val="00D24071"/>
    <w:rsid w:val="00D54BA2"/>
    <w:rsid w:val="00D57E57"/>
    <w:rsid w:val="00DD1103"/>
    <w:rsid w:val="00DD2ED4"/>
    <w:rsid w:val="00E35DF0"/>
    <w:rsid w:val="00E46CBC"/>
    <w:rsid w:val="00EB1449"/>
    <w:rsid w:val="00EB3B4D"/>
    <w:rsid w:val="00EC7C0D"/>
    <w:rsid w:val="00F834AC"/>
    <w:rsid w:val="00F868CE"/>
    <w:rsid w:val="00F9711B"/>
    <w:rsid w:val="00FB219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06F966"/>
  <w15:docId w15:val="{7D4A17FB-8101-4851-BA86-D7F0620F9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_tradnl" w:eastAsia="es-ES" w:bidi="ar-SA"/>
      </w:rPr>
    </w:rPrDefault>
    <w:pPrDefault/>
  </w:docDefaults>
  <w:latentStyles w:defLockedState="0" w:defUIPriority="0" w:defSemiHidden="0" w:defUnhideWhenUsed="0" w:defQFormat="0" w:count="371">
    <w:lsdException w:name="heading 1"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003"/>
    <w:pPr>
      <w:spacing w:after="200" w:line="276" w:lineRule="auto"/>
    </w:pPr>
    <w:rPr>
      <w:sz w:val="22"/>
      <w:szCs w:val="22"/>
      <w:lang w:val="es-ES" w:eastAsia="en-US"/>
    </w:rPr>
  </w:style>
  <w:style w:type="paragraph" w:styleId="Ttulo1">
    <w:name w:val="heading 1"/>
    <w:basedOn w:val="Normal"/>
    <w:next w:val="Normal"/>
    <w:link w:val="Ttulo1Car"/>
    <w:qFormat/>
    <w:rsid w:val="002F51A6"/>
    <w:pPr>
      <w:keepNext/>
      <w:overflowPunct w:val="0"/>
      <w:autoSpaceDE w:val="0"/>
      <w:autoSpaceDN w:val="0"/>
      <w:adjustRightInd w:val="0"/>
      <w:spacing w:after="0" w:line="240" w:lineRule="auto"/>
      <w:ind w:left="2124" w:firstLine="708"/>
      <w:jc w:val="both"/>
      <w:textAlignment w:val="baseline"/>
      <w:outlineLvl w:val="0"/>
    </w:pPr>
    <w:rPr>
      <w:rFonts w:ascii="Arial" w:eastAsia="Times New Roman" w:hAnsi="Arial"/>
      <w:b/>
      <w:sz w:val="24"/>
      <w:szCs w:val="20"/>
      <w:u w:val="single"/>
      <w:lang w:val="es-ES_tradnl" w:eastAsia="es-ES"/>
    </w:rPr>
  </w:style>
  <w:style w:type="paragraph" w:styleId="Ttulo2">
    <w:name w:val="heading 2"/>
    <w:basedOn w:val="Normal"/>
    <w:next w:val="Normal"/>
    <w:link w:val="Ttulo2Car"/>
    <w:qFormat/>
    <w:rsid w:val="002F51A6"/>
    <w:pPr>
      <w:keepNext/>
      <w:pBdr>
        <w:top w:val="single" w:sz="6" w:space="1" w:color="auto"/>
        <w:left w:val="single" w:sz="6" w:space="4" w:color="auto"/>
        <w:bottom w:val="single" w:sz="6" w:space="1" w:color="auto"/>
        <w:right w:val="single" w:sz="6" w:space="4" w:color="auto"/>
      </w:pBdr>
      <w:overflowPunct w:val="0"/>
      <w:autoSpaceDE w:val="0"/>
      <w:autoSpaceDN w:val="0"/>
      <w:adjustRightInd w:val="0"/>
      <w:spacing w:after="0" w:line="240" w:lineRule="auto"/>
      <w:jc w:val="both"/>
      <w:textAlignment w:val="baseline"/>
      <w:outlineLvl w:val="1"/>
    </w:pPr>
    <w:rPr>
      <w:rFonts w:ascii="Arial" w:eastAsia="Times New Roman" w:hAnsi="Arial"/>
      <w:b/>
      <w:sz w:val="28"/>
      <w:szCs w:val="20"/>
      <w:lang w:val="es-ES_tradnl" w:eastAsia="es-ES"/>
    </w:rPr>
  </w:style>
  <w:style w:type="paragraph" w:styleId="Ttulo3">
    <w:name w:val="heading 3"/>
    <w:basedOn w:val="Normal"/>
    <w:next w:val="Normal"/>
    <w:link w:val="Ttulo3Car"/>
    <w:rsid w:val="002F51A6"/>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F51A6"/>
    <w:rPr>
      <w:rFonts w:ascii="Arial" w:eastAsia="Times New Roman" w:hAnsi="Arial"/>
      <w:b/>
      <w:sz w:val="24"/>
      <w:u w:val="single"/>
    </w:rPr>
  </w:style>
  <w:style w:type="character" w:customStyle="1" w:styleId="Ttulo2Car">
    <w:name w:val="Título 2 Car"/>
    <w:basedOn w:val="Fuentedeprrafopredeter"/>
    <w:link w:val="Ttulo2"/>
    <w:rsid w:val="002F51A6"/>
    <w:rPr>
      <w:rFonts w:ascii="Arial" w:eastAsia="Times New Roman" w:hAnsi="Arial"/>
      <w:b/>
      <w:sz w:val="28"/>
    </w:rPr>
  </w:style>
  <w:style w:type="paragraph" w:styleId="Textoindependiente">
    <w:name w:val="Body Text"/>
    <w:basedOn w:val="Normal"/>
    <w:link w:val="TextoindependienteCar"/>
    <w:rsid w:val="002F51A6"/>
    <w:pPr>
      <w:overflowPunct w:val="0"/>
      <w:autoSpaceDE w:val="0"/>
      <w:autoSpaceDN w:val="0"/>
      <w:adjustRightInd w:val="0"/>
      <w:spacing w:after="0" w:line="240" w:lineRule="auto"/>
      <w:jc w:val="both"/>
      <w:textAlignment w:val="baseline"/>
    </w:pPr>
    <w:rPr>
      <w:rFonts w:ascii="Arial" w:eastAsia="Times New Roman" w:hAnsi="Arial"/>
      <w:sz w:val="24"/>
      <w:szCs w:val="20"/>
      <w:lang w:val="es-ES_tradnl" w:eastAsia="es-ES"/>
    </w:rPr>
  </w:style>
  <w:style w:type="character" w:customStyle="1" w:styleId="TextoindependienteCar">
    <w:name w:val="Texto independiente Car"/>
    <w:basedOn w:val="Fuentedeprrafopredeter"/>
    <w:link w:val="Textoindependiente"/>
    <w:rsid w:val="002F51A6"/>
    <w:rPr>
      <w:rFonts w:ascii="Arial" w:eastAsia="Times New Roman" w:hAnsi="Arial"/>
      <w:sz w:val="24"/>
    </w:rPr>
  </w:style>
  <w:style w:type="character" w:customStyle="1" w:styleId="Ttulo3Car">
    <w:name w:val="Título 3 Car"/>
    <w:basedOn w:val="Fuentedeprrafopredeter"/>
    <w:link w:val="Ttulo3"/>
    <w:rsid w:val="002F51A6"/>
    <w:rPr>
      <w:rFonts w:asciiTheme="majorHAnsi" w:eastAsiaTheme="majorEastAsia" w:hAnsiTheme="majorHAnsi" w:cstheme="majorBidi"/>
      <w:b/>
      <w:bCs/>
      <w:color w:val="4F81BD" w:themeColor="accent1"/>
      <w:sz w:val="22"/>
      <w:szCs w:val="22"/>
      <w:lang w:val="es-ES" w:eastAsia="en-US"/>
    </w:rPr>
  </w:style>
  <w:style w:type="table" w:styleId="Tablaconcuadrcula">
    <w:name w:val="Table Grid"/>
    <w:basedOn w:val="Tablanormal"/>
    <w:rsid w:val="002F5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nhideWhenUsed/>
    <w:rsid w:val="004A2093"/>
    <w:rPr>
      <w:color w:val="0000FF" w:themeColor="hyperlink"/>
      <w:u w:val="single"/>
    </w:rPr>
  </w:style>
  <w:style w:type="paragraph" w:styleId="Textonotaalfinal">
    <w:name w:val="endnote text"/>
    <w:basedOn w:val="Normal"/>
    <w:link w:val="TextonotaalfinalCar"/>
    <w:semiHidden/>
    <w:unhideWhenUsed/>
    <w:rsid w:val="00374CA8"/>
    <w:pPr>
      <w:spacing w:after="0" w:line="240" w:lineRule="auto"/>
    </w:pPr>
    <w:rPr>
      <w:sz w:val="20"/>
      <w:szCs w:val="20"/>
    </w:rPr>
  </w:style>
  <w:style w:type="character" w:customStyle="1" w:styleId="TextonotaalfinalCar">
    <w:name w:val="Texto nota al final Car"/>
    <w:basedOn w:val="Fuentedeprrafopredeter"/>
    <w:link w:val="Textonotaalfinal"/>
    <w:semiHidden/>
    <w:rsid w:val="00374CA8"/>
    <w:rPr>
      <w:lang w:val="es-ES" w:eastAsia="en-US"/>
    </w:rPr>
  </w:style>
  <w:style w:type="character" w:styleId="Refdenotaalfinal">
    <w:name w:val="endnote reference"/>
    <w:basedOn w:val="Fuentedeprrafopredeter"/>
    <w:semiHidden/>
    <w:unhideWhenUsed/>
    <w:rsid w:val="00374CA8"/>
    <w:rPr>
      <w:vertAlign w:val="superscript"/>
    </w:rPr>
  </w:style>
  <w:style w:type="paragraph" w:styleId="Prrafodelista">
    <w:name w:val="List Paragraph"/>
    <w:basedOn w:val="Normal"/>
    <w:uiPriority w:val="34"/>
    <w:qFormat/>
    <w:rsid w:val="00492125"/>
    <w:pPr>
      <w:spacing w:after="0" w:line="240" w:lineRule="auto"/>
      <w:ind w:left="708"/>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7107245">
      <w:bodyDiv w:val="1"/>
      <w:marLeft w:val="0"/>
      <w:marRight w:val="0"/>
      <w:marTop w:val="0"/>
      <w:marBottom w:val="0"/>
      <w:divBdr>
        <w:top w:val="none" w:sz="0" w:space="0" w:color="auto"/>
        <w:left w:val="none" w:sz="0" w:space="0" w:color="auto"/>
        <w:bottom w:val="none" w:sz="0" w:space="0" w:color="auto"/>
        <w:right w:val="none" w:sz="0" w:space="0" w:color="auto"/>
      </w:divBdr>
    </w:div>
    <w:div w:id="1172648024">
      <w:bodyDiv w:val="1"/>
      <w:marLeft w:val="0"/>
      <w:marRight w:val="0"/>
      <w:marTop w:val="0"/>
      <w:marBottom w:val="0"/>
      <w:divBdr>
        <w:top w:val="none" w:sz="0" w:space="0" w:color="auto"/>
        <w:left w:val="none" w:sz="0" w:space="0" w:color="auto"/>
        <w:bottom w:val="none" w:sz="0" w:space="0" w:color="auto"/>
        <w:right w:val="none" w:sz="0" w:space="0" w:color="auto"/>
      </w:divBdr>
    </w:div>
    <w:div w:id="1405376736">
      <w:bodyDiv w:val="1"/>
      <w:marLeft w:val="0"/>
      <w:marRight w:val="0"/>
      <w:marTop w:val="0"/>
      <w:marBottom w:val="0"/>
      <w:divBdr>
        <w:top w:val="none" w:sz="0" w:space="0" w:color="auto"/>
        <w:left w:val="none" w:sz="0" w:space="0" w:color="auto"/>
        <w:bottom w:val="none" w:sz="0" w:space="0" w:color="auto"/>
        <w:right w:val="none" w:sz="0" w:space="0" w:color="auto"/>
      </w:divBdr>
    </w:div>
    <w:div w:id="1477528533">
      <w:bodyDiv w:val="1"/>
      <w:marLeft w:val="0"/>
      <w:marRight w:val="0"/>
      <w:marTop w:val="0"/>
      <w:marBottom w:val="0"/>
      <w:divBdr>
        <w:top w:val="none" w:sz="0" w:space="0" w:color="auto"/>
        <w:left w:val="none" w:sz="0" w:space="0" w:color="auto"/>
        <w:bottom w:val="none" w:sz="0" w:space="0" w:color="auto"/>
        <w:right w:val="none" w:sz="0" w:space="0" w:color="auto"/>
      </w:divBdr>
    </w:div>
    <w:div w:id="1554854554">
      <w:bodyDiv w:val="1"/>
      <w:marLeft w:val="0"/>
      <w:marRight w:val="0"/>
      <w:marTop w:val="0"/>
      <w:marBottom w:val="0"/>
      <w:divBdr>
        <w:top w:val="none" w:sz="0" w:space="0" w:color="auto"/>
        <w:left w:val="none" w:sz="0" w:space="0" w:color="auto"/>
        <w:bottom w:val="none" w:sz="0" w:space="0" w:color="auto"/>
        <w:right w:val="none" w:sz="0" w:space="0" w:color="auto"/>
      </w:divBdr>
    </w:div>
    <w:div w:id="18140599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otin/>
</file>

<file path=customXml/itemProps1.xml><?xml version="1.0" encoding="utf-8"?>
<ds:datastoreItem xmlns:ds="http://schemas.openxmlformats.org/officeDocument/2006/customXml" ds:itemID="{5F78D296-0B2D-472C-B421-34E032CC268F}">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5</Pages>
  <Words>1829</Words>
  <Characters>10062</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D.CARLOS</dc:creator>
  <cp:lastModifiedBy>Daniel Andreu</cp:lastModifiedBy>
  <cp:revision>7</cp:revision>
  <dcterms:created xsi:type="dcterms:W3CDTF">2017-06-04T17:38:00Z</dcterms:created>
  <dcterms:modified xsi:type="dcterms:W3CDTF">2019-05-23T16:01:00Z</dcterms:modified>
</cp:coreProperties>
</file>