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34" w:rsidRPr="008A42D9" w:rsidRDefault="00215334" w:rsidP="008C342E">
      <w:pPr>
        <w:pStyle w:val="Ttulo"/>
        <w:spacing w:before="0" w:after="0"/>
        <w:rPr>
          <w:rFonts w:cs="Calibri"/>
          <w:b w:val="0"/>
        </w:rPr>
      </w:pPr>
      <w:bookmarkStart w:id="0" w:name="_GoBack"/>
      <w:bookmarkEnd w:id="0"/>
      <w:r w:rsidRPr="008A42D9">
        <w:rPr>
          <w:rFonts w:ascii="Calibri" w:hAnsi="Calibri" w:cs="Calibri"/>
          <w:sz w:val="22"/>
          <w:szCs w:val="22"/>
        </w:rPr>
        <w:t xml:space="preserve">Tema </w:t>
      </w:r>
      <w:r w:rsidR="001F529B">
        <w:rPr>
          <w:rFonts w:ascii="Calibri" w:hAnsi="Calibri" w:cs="Calibri"/>
          <w:sz w:val="22"/>
          <w:szCs w:val="22"/>
        </w:rPr>
        <w:t>9</w:t>
      </w:r>
      <w:r w:rsidRPr="008A42D9">
        <w:rPr>
          <w:rFonts w:ascii="Calibri" w:hAnsi="Calibri" w:cs="Calibri"/>
          <w:sz w:val="22"/>
          <w:szCs w:val="22"/>
        </w:rPr>
        <w:t xml:space="preserve"> Hipotecario</w:t>
      </w:r>
      <w:r w:rsidR="008A42D9" w:rsidRPr="008A42D9">
        <w:rPr>
          <w:rFonts w:ascii="Calibri" w:hAnsi="Calibri" w:cs="Calibri"/>
          <w:sz w:val="22"/>
          <w:szCs w:val="22"/>
        </w:rPr>
        <w:t xml:space="preserve"> </w:t>
      </w:r>
    </w:p>
    <w:p w:rsidR="00215334" w:rsidRPr="008A42D9" w:rsidRDefault="00215334" w:rsidP="00215334">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215334" w:rsidRPr="008A42D9">
        <w:tc>
          <w:tcPr>
            <w:tcW w:w="9494" w:type="dxa"/>
          </w:tcPr>
          <w:p w:rsidR="00215334" w:rsidRPr="008A42D9" w:rsidRDefault="00215334" w:rsidP="00935E74">
            <w:pPr>
              <w:jc w:val="center"/>
              <w:rPr>
                <w:rFonts w:cs="Calibri"/>
                <w:b/>
              </w:rPr>
            </w:pPr>
            <w:r w:rsidRPr="008A42D9">
              <w:rPr>
                <w:rFonts w:cs="Calibri"/>
                <w:b/>
              </w:rPr>
              <w:t>EL PRINCIPIO DE TRACTO SUCESIVO</w:t>
            </w:r>
          </w:p>
        </w:tc>
      </w:tr>
    </w:tbl>
    <w:p w:rsidR="00215334" w:rsidRPr="008A42D9" w:rsidRDefault="00215334" w:rsidP="00215334">
      <w:pPr>
        <w:rPr>
          <w:rFonts w:cs="Calibri"/>
        </w:rPr>
      </w:pPr>
    </w:p>
    <w:p w:rsidR="00215334" w:rsidRPr="008A42D9" w:rsidRDefault="00215334" w:rsidP="008A42D9">
      <w:pPr>
        <w:rPr>
          <w:rFonts w:cs="Calibri"/>
        </w:rPr>
      </w:pPr>
      <w:r w:rsidRPr="008A42D9">
        <w:rPr>
          <w:rFonts w:cs="Calibri"/>
        </w:rPr>
        <w:t xml:space="preserve">Según ROCA SASTRE </w:t>
      </w:r>
      <w:r w:rsidR="008A42D9">
        <w:rPr>
          <w:rFonts w:cs="Calibri"/>
        </w:rPr>
        <w:t>el tracto sucesivo es aquel principio hipotecario</w:t>
      </w:r>
      <w:r w:rsidR="008A42D9" w:rsidRPr="008C342E">
        <w:rPr>
          <w:rFonts w:cs="Calibri"/>
        </w:rPr>
        <w:t xml:space="preserve"> </w:t>
      </w:r>
      <w:r w:rsidRPr="008C342E">
        <w:rPr>
          <w:rFonts w:cs="Calibri"/>
        </w:rPr>
        <w:t xml:space="preserve">dirigido a procurar que </w:t>
      </w:r>
      <w:r w:rsidRPr="008C342E">
        <w:rPr>
          <w:rFonts w:cs="Calibri"/>
          <w:i/>
          <w:iCs/>
        </w:rPr>
        <w:t>el historial jurídico-real de cada finca</w:t>
      </w:r>
      <w:r w:rsidRPr="008C342E">
        <w:rPr>
          <w:rFonts w:cs="Calibri"/>
        </w:rPr>
        <w:t xml:space="preserve"> sea completo, de modo que los asientos registrales estén enlazados, los actos y contratos concatenados y los titulares registrales se sucedan </w:t>
      </w:r>
      <w:r w:rsidR="008A42D9" w:rsidRPr="008C342E">
        <w:rPr>
          <w:rFonts w:cs="Calibri"/>
        </w:rPr>
        <w:t xml:space="preserve">los </w:t>
      </w:r>
      <w:r w:rsidRPr="008C342E">
        <w:rPr>
          <w:rFonts w:cs="Calibri"/>
        </w:rPr>
        <w:t xml:space="preserve">unos a </w:t>
      </w:r>
      <w:r w:rsidR="008A42D9" w:rsidRPr="008C342E">
        <w:rPr>
          <w:rFonts w:cs="Calibri"/>
        </w:rPr>
        <w:t xml:space="preserve">los </w:t>
      </w:r>
      <w:r w:rsidRPr="008C342E">
        <w:rPr>
          <w:rFonts w:cs="Calibri"/>
        </w:rPr>
        <w:t>otros.</w:t>
      </w:r>
    </w:p>
    <w:p w:rsidR="00215334" w:rsidRPr="008A42D9" w:rsidRDefault="00215334" w:rsidP="00215334">
      <w:pPr>
        <w:rPr>
          <w:rFonts w:cs="Calibri"/>
        </w:rPr>
      </w:pPr>
    </w:p>
    <w:p w:rsidR="008A42D9" w:rsidRPr="008A42D9" w:rsidRDefault="008A42D9" w:rsidP="008A42D9">
      <w:pPr>
        <w:pStyle w:val="Textoindependiente"/>
        <w:spacing w:after="0"/>
        <w:rPr>
          <w:rFonts w:cs="Arial"/>
          <w:color w:val="1F497D"/>
        </w:rPr>
      </w:pPr>
      <w:r w:rsidRPr="008A42D9">
        <w:rPr>
          <w:rFonts w:cs="Arial"/>
          <w:b/>
          <w:color w:val="1F497D"/>
        </w:rPr>
        <w:t>¿Es ó no un auténtico p</w:t>
      </w:r>
      <w:r w:rsidR="008C342E">
        <w:rPr>
          <w:rFonts w:cs="Arial"/>
          <w:b/>
          <w:color w:val="1F497D"/>
        </w:rPr>
        <w:t>rincipio</w:t>
      </w:r>
      <w:r w:rsidRPr="008A42D9">
        <w:rPr>
          <w:rFonts w:cs="Arial"/>
          <w:b/>
          <w:color w:val="1F497D"/>
        </w:rPr>
        <w:t xml:space="preserve"> hipotecario?</w:t>
      </w:r>
      <w:r w:rsidRPr="008A42D9">
        <w:rPr>
          <w:rFonts w:cs="Arial"/>
          <w:color w:val="1F497D"/>
        </w:rPr>
        <w:t xml:space="preserve"> </w:t>
      </w:r>
    </w:p>
    <w:p w:rsidR="008A42D9" w:rsidRPr="008A42D9" w:rsidRDefault="008A42D9" w:rsidP="008A42D9">
      <w:pPr>
        <w:pStyle w:val="Textoindependiente"/>
        <w:spacing w:after="0"/>
        <w:rPr>
          <w:rFonts w:cs="Arial"/>
        </w:rPr>
      </w:pPr>
    </w:p>
    <w:p w:rsidR="008A42D9" w:rsidRPr="008A42D9" w:rsidRDefault="008C342E" w:rsidP="008C342E">
      <w:pPr>
        <w:pStyle w:val="Textoindependiente"/>
        <w:spacing w:after="0"/>
        <w:ind w:left="794" w:hanging="397"/>
        <w:rPr>
          <w:rFonts w:cs="Arial"/>
        </w:rPr>
      </w:pPr>
      <w:r>
        <w:rPr>
          <w:rFonts w:cs="Arial"/>
        </w:rPr>
        <w:t>(S</w:t>
      </w:r>
      <w:r w:rsidR="008A42D9" w:rsidRPr="008A42D9">
        <w:rPr>
          <w:rFonts w:cs="Arial"/>
        </w:rPr>
        <w:t>ANZ ó LACRUZ</w:t>
      </w:r>
      <w:r>
        <w:rPr>
          <w:rFonts w:cs="Arial"/>
        </w:rPr>
        <w:t>) NO, siendo</w:t>
      </w:r>
      <w:r w:rsidR="008A42D9" w:rsidRPr="008A42D9">
        <w:rPr>
          <w:rFonts w:cs="Arial"/>
        </w:rPr>
        <w:t xml:space="preserve"> tan solo es </w:t>
      </w:r>
      <w:r w:rsidR="008A42D9" w:rsidRPr="008A42D9">
        <w:rPr>
          <w:rFonts w:cs="Arial"/>
          <w:u w:val="single"/>
        </w:rPr>
        <w:t xml:space="preserve">una consecuencia del </w:t>
      </w:r>
      <w:r>
        <w:rPr>
          <w:rFonts w:cs="Arial"/>
          <w:u w:val="single"/>
        </w:rPr>
        <w:t>principio</w:t>
      </w:r>
      <w:r w:rsidR="008A42D9" w:rsidRPr="008A42D9">
        <w:rPr>
          <w:rFonts w:cs="Arial"/>
          <w:u w:val="single"/>
        </w:rPr>
        <w:t xml:space="preserve"> de legitimación</w:t>
      </w:r>
      <w:r w:rsidR="008A42D9" w:rsidRPr="008A42D9">
        <w:rPr>
          <w:rFonts w:cs="Arial"/>
        </w:rPr>
        <w:t xml:space="preserve">. </w:t>
      </w:r>
    </w:p>
    <w:p w:rsidR="008C342E" w:rsidRDefault="008C342E" w:rsidP="008C342E">
      <w:pPr>
        <w:pStyle w:val="Textoindependiente"/>
        <w:spacing w:after="0"/>
        <w:ind w:left="794" w:hanging="397"/>
        <w:rPr>
          <w:rFonts w:cs="Arial"/>
        </w:rPr>
      </w:pPr>
    </w:p>
    <w:p w:rsidR="008C342E" w:rsidRDefault="008C342E" w:rsidP="008C342E">
      <w:pPr>
        <w:pStyle w:val="Textoindependiente"/>
        <w:spacing w:after="0"/>
        <w:ind w:left="794" w:hanging="397"/>
        <w:rPr>
          <w:rFonts w:cs="Arial"/>
          <w:b/>
          <w:color w:val="1F497D"/>
        </w:rPr>
      </w:pPr>
      <w:r>
        <w:rPr>
          <w:rFonts w:cs="Arial"/>
        </w:rPr>
        <w:t>(D</w:t>
      </w:r>
      <w:r w:rsidR="008A42D9" w:rsidRPr="008A42D9">
        <w:rPr>
          <w:rFonts w:cs="Arial"/>
        </w:rPr>
        <w:t>octrina mayoritaria</w:t>
      </w:r>
      <w:r>
        <w:rPr>
          <w:rFonts w:cs="Arial"/>
        </w:rPr>
        <w:t>) SI</w:t>
      </w:r>
      <w:r w:rsidR="008A42D9" w:rsidRPr="008A42D9">
        <w:rPr>
          <w:rFonts w:cs="Arial"/>
        </w:rPr>
        <w:t xml:space="preserve">. </w:t>
      </w:r>
      <w:r>
        <w:rPr>
          <w:rFonts w:cs="Arial"/>
        </w:rPr>
        <w:t>L</w:t>
      </w:r>
      <w:r w:rsidR="008A42D9" w:rsidRPr="008A42D9">
        <w:rPr>
          <w:rFonts w:cs="Arial"/>
        </w:rPr>
        <w:t xml:space="preserve">o </w:t>
      </w:r>
      <w:r>
        <w:rPr>
          <w:rFonts w:cs="Arial"/>
        </w:rPr>
        <w:t xml:space="preserve">discutido </w:t>
      </w:r>
      <w:r w:rsidR="008A42D9" w:rsidRPr="008A42D9">
        <w:rPr>
          <w:rFonts w:cs="Arial"/>
        </w:rPr>
        <w:t xml:space="preserve">es si </w:t>
      </w:r>
      <w:r>
        <w:rPr>
          <w:rFonts w:cs="Arial"/>
        </w:rPr>
        <w:t xml:space="preserve">su carácter de principio </w:t>
      </w:r>
      <w:r w:rsidR="008A42D9" w:rsidRPr="008A42D9">
        <w:rPr>
          <w:rFonts w:cs="Arial"/>
          <w:b/>
          <w:color w:val="1F497D"/>
        </w:rPr>
        <w:t>sustantivo ó formal</w:t>
      </w:r>
      <w:r w:rsidR="001F529B" w:rsidRPr="001F529B">
        <w:rPr>
          <w:rFonts w:cs="Arial"/>
          <w:color w:val="1F497D"/>
        </w:rPr>
        <w:t>.</w:t>
      </w:r>
    </w:p>
    <w:p w:rsidR="008C342E" w:rsidRDefault="008C342E" w:rsidP="008C342E">
      <w:pPr>
        <w:pStyle w:val="Textoindependiente"/>
        <w:spacing w:after="0"/>
        <w:ind w:left="794" w:hanging="397"/>
        <w:rPr>
          <w:rFonts w:cs="Arial"/>
          <w:b/>
          <w:color w:val="1F497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215334" w:rsidRPr="008A42D9">
        <w:tc>
          <w:tcPr>
            <w:tcW w:w="9494" w:type="dxa"/>
          </w:tcPr>
          <w:p w:rsidR="00215334" w:rsidRPr="008A42D9" w:rsidRDefault="00215334" w:rsidP="008C342E">
            <w:pPr>
              <w:jc w:val="center"/>
              <w:rPr>
                <w:rFonts w:cs="Calibri"/>
                <w:b/>
              </w:rPr>
            </w:pPr>
            <w:r w:rsidRPr="008A42D9">
              <w:rPr>
                <w:rFonts w:cs="Calibri"/>
                <w:b/>
              </w:rPr>
              <w:t xml:space="preserve">EL ARTICULO  20 </w:t>
            </w:r>
            <w:r w:rsidR="008C342E">
              <w:rPr>
                <w:rFonts w:cs="Calibri"/>
                <w:b/>
              </w:rPr>
              <w:t>LH</w:t>
            </w:r>
            <w:r w:rsidRPr="008A42D9">
              <w:rPr>
                <w:rFonts w:cs="Calibri"/>
                <w:b/>
              </w:rPr>
              <w:t>: SU EVOLUCIÓN HISTÓRICA</w:t>
            </w:r>
          </w:p>
        </w:tc>
      </w:tr>
    </w:tbl>
    <w:p w:rsidR="00215334" w:rsidRPr="008A42D9" w:rsidRDefault="00215334" w:rsidP="00215334">
      <w:pPr>
        <w:rPr>
          <w:rFonts w:cs="Calibri"/>
        </w:rPr>
      </w:pPr>
    </w:p>
    <w:p w:rsidR="00373138" w:rsidRDefault="00373138" w:rsidP="00373138">
      <w:pPr>
        <w:rPr>
          <w:rFonts w:cs="Calibri"/>
          <w:b/>
          <w:u w:val="single"/>
        </w:rPr>
      </w:pPr>
    </w:p>
    <w:p w:rsidR="00373138" w:rsidRPr="00373138" w:rsidRDefault="00373138" w:rsidP="00373138">
      <w:pPr>
        <w:rPr>
          <w:rFonts w:cs="Calibri"/>
        </w:rPr>
      </w:pPr>
      <w:r w:rsidRPr="00373138">
        <w:rPr>
          <w:rFonts w:cs="Calibri"/>
        </w:rPr>
        <w:t>En la evolución histórica del precepto cabe señalar tres etapas:</w:t>
      </w:r>
    </w:p>
    <w:p w:rsidR="00373138" w:rsidRPr="00373138" w:rsidRDefault="00373138" w:rsidP="00373138">
      <w:pPr>
        <w:rPr>
          <w:rFonts w:cs="Calibri"/>
        </w:rPr>
      </w:pPr>
    </w:p>
    <w:p w:rsidR="00373138" w:rsidRPr="00D437EA" w:rsidRDefault="00373138" w:rsidP="0060295F">
      <w:pPr>
        <w:ind w:left="709"/>
        <w:rPr>
          <w:rFonts w:cs="Calibri"/>
        </w:rPr>
      </w:pPr>
      <w:r w:rsidRPr="00D437EA">
        <w:rPr>
          <w:rFonts w:cs="Calibri"/>
        </w:rPr>
        <w:t>Ley hipotecaria de 1861: el art. 20 se destinaba única y exclusivamente a solucionar el principio de tracto sucesivo.</w:t>
      </w:r>
    </w:p>
    <w:p w:rsidR="00373138" w:rsidRPr="00D437EA" w:rsidRDefault="00373138" w:rsidP="0060295F">
      <w:pPr>
        <w:ind w:left="709"/>
        <w:rPr>
          <w:rFonts w:cs="Calibri"/>
        </w:rPr>
      </w:pPr>
    </w:p>
    <w:p w:rsidR="00373138" w:rsidRPr="00D437EA" w:rsidRDefault="00373138" w:rsidP="0060295F">
      <w:pPr>
        <w:ind w:left="1429"/>
        <w:rPr>
          <w:rFonts w:cs="Calibri"/>
        </w:rPr>
      </w:pPr>
      <w:r w:rsidRPr="00D437EA">
        <w:rPr>
          <w:rFonts w:cs="Calibri"/>
          <w:spacing w:val="-3"/>
          <w:lang w:val="es-ES_tradnl"/>
        </w:rPr>
        <w:t>Ya el Proyecto Cc 1851</w:t>
      </w:r>
      <w:r w:rsidRPr="00D437EA">
        <w:rPr>
          <w:rFonts w:cs="Calibri"/>
        </w:rPr>
        <w:t xml:space="preserve"> que exigía la previa inscripción del transmitente. Por imperiosa necesidad práctica, una R.O. de 1863 dispuso que la </w:t>
      </w:r>
      <w:r w:rsidRPr="001F529B">
        <w:rPr>
          <w:rFonts w:cs="Calibri"/>
        </w:rPr>
        <w:t>previa inscripción sólo regiría para los títulos posteriores al 1 de enero 1863</w:t>
      </w:r>
      <w:r w:rsidRPr="001F529B">
        <w:rPr>
          <w:rFonts w:cs="Calibri"/>
          <w:spacing w:val="-3"/>
          <w:lang w:val="es-ES_tradnl"/>
        </w:rPr>
        <w:t xml:space="preserve"> siendo directamente</w:t>
      </w:r>
      <w:r w:rsidRPr="00D437EA">
        <w:rPr>
          <w:rFonts w:cs="Calibri"/>
          <w:spacing w:val="-3"/>
          <w:lang w:val="es-ES_tradnl"/>
        </w:rPr>
        <w:t xml:space="preserve"> inscribibles los anteriores a dicha fecha.</w:t>
      </w:r>
    </w:p>
    <w:p w:rsidR="00373138" w:rsidRPr="00D437EA" w:rsidRDefault="00373138" w:rsidP="0060295F">
      <w:pPr>
        <w:ind w:left="709"/>
        <w:rPr>
          <w:rFonts w:cs="Calibri"/>
        </w:rPr>
      </w:pPr>
    </w:p>
    <w:p w:rsidR="00373138" w:rsidRPr="00D437EA" w:rsidRDefault="00373138" w:rsidP="0060295F">
      <w:pPr>
        <w:ind w:left="709"/>
        <w:rPr>
          <w:rFonts w:cs="Calibri"/>
          <w:spacing w:val="-3"/>
          <w:lang w:val="es-ES_tradnl"/>
        </w:rPr>
      </w:pPr>
      <w:r w:rsidRPr="00D437EA">
        <w:rPr>
          <w:rFonts w:cs="Calibri"/>
        </w:rPr>
        <w:t xml:space="preserve">Ley de 1909: </w:t>
      </w:r>
      <w:r w:rsidRPr="00D437EA">
        <w:rPr>
          <w:rFonts w:cs="Calibri"/>
          <w:spacing w:val="-3"/>
          <w:lang w:val="es-ES_tradnl"/>
        </w:rPr>
        <w:t xml:space="preserve"> el artículo 20 contenía dos partes claramente diferenciadas:</w:t>
      </w:r>
    </w:p>
    <w:p w:rsidR="001F529B" w:rsidRDefault="001F529B" w:rsidP="001F529B">
      <w:pPr>
        <w:tabs>
          <w:tab w:val="left" w:pos="0"/>
        </w:tabs>
        <w:suppressAutoHyphens/>
        <w:ind w:left="1713"/>
        <w:rPr>
          <w:rFonts w:cs="Calibri"/>
          <w:spacing w:val="-3"/>
          <w:lang w:val="es-ES_tradnl"/>
        </w:rPr>
      </w:pPr>
    </w:p>
    <w:p w:rsidR="00373138" w:rsidRPr="001F529B" w:rsidRDefault="00373138" w:rsidP="001F529B">
      <w:pPr>
        <w:tabs>
          <w:tab w:val="left" w:pos="0"/>
        </w:tabs>
        <w:suppressAutoHyphens/>
        <w:ind w:left="1713"/>
        <w:rPr>
          <w:rFonts w:cs="Calibri"/>
        </w:rPr>
      </w:pPr>
      <w:r w:rsidRPr="00D437EA">
        <w:rPr>
          <w:rFonts w:cs="Calibri"/>
          <w:spacing w:val="-3"/>
          <w:lang w:val="es-ES_tradnl"/>
        </w:rPr>
        <w:t xml:space="preserve">Una regulaba </w:t>
      </w:r>
      <w:r w:rsidRPr="001F529B">
        <w:rPr>
          <w:rFonts w:cs="Calibri"/>
          <w:spacing w:val="-3"/>
          <w:lang w:val="es-ES_tradnl"/>
        </w:rPr>
        <w:t>el principio de tracto sucesivo en términos relativamente semejantes a los actuales y</w:t>
      </w:r>
    </w:p>
    <w:p w:rsidR="001F529B" w:rsidRPr="001F529B" w:rsidRDefault="001F529B" w:rsidP="001F529B">
      <w:pPr>
        <w:tabs>
          <w:tab w:val="left" w:pos="0"/>
        </w:tabs>
        <w:suppressAutoHyphens/>
        <w:ind w:left="1713"/>
        <w:rPr>
          <w:rFonts w:cs="Calibri"/>
          <w:spacing w:val="-3"/>
          <w:lang w:val="es-ES_tradnl"/>
        </w:rPr>
      </w:pPr>
    </w:p>
    <w:p w:rsidR="00373138" w:rsidRPr="00D437EA" w:rsidRDefault="00373138" w:rsidP="001F529B">
      <w:pPr>
        <w:tabs>
          <w:tab w:val="left" w:pos="0"/>
        </w:tabs>
        <w:suppressAutoHyphens/>
        <w:ind w:left="1713"/>
        <w:rPr>
          <w:rFonts w:cs="Calibri"/>
        </w:rPr>
      </w:pPr>
      <w:r w:rsidRPr="001F529B">
        <w:rPr>
          <w:rFonts w:cs="Calibri"/>
          <w:spacing w:val="-3"/>
          <w:lang w:val="es-ES_tradnl"/>
        </w:rPr>
        <w:t xml:space="preserve">La otra regulaba uno de los medios de inmatriculación </w:t>
      </w:r>
      <w:r w:rsidR="001F529B" w:rsidRPr="001F529B">
        <w:rPr>
          <w:rFonts w:cs="Calibri"/>
          <w:spacing w:val="-3"/>
          <w:lang w:val="es-ES_tradnl"/>
        </w:rPr>
        <w:t>(</w:t>
      </w:r>
      <w:r w:rsidRPr="001F529B">
        <w:rPr>
          <w:rFonts w:cs="Calibri"/>
          <w:i/>
          <w:iCs/>
          <w:spacing w:val="-3"/>
          <w:lang w:val="es-ES_tradnl"/>
        </w:rPr>
        <w:t>el título público</w:t>
      </w:r>
      <w:r w:rsidRPr="00D437EA">
        <w:rPr>
          <w:rFonts w:cs="Calibri"/>
          <w:i/>
          <w:iCs/>
          <w:spacing w:val="-3"/>
          <w:lang w:val="es-ES_tradnl"/>
        </w:rPr>
        <w:t xml:space="preserve"> de adquisición</w:t>
      </w:r>
      <w:r w:rsidR="001F529B">
        <w:rPr>
          <w:rFonts w:cs="Calibri"/>
          <w:i/>
          <w:iCs/>
          <w:spacing w:val="-3"/>
          <w:lang w:val="es-ES_tradnl"/>
        </w:rPr>
        <w:t>)</w:t>
      </w:r>
      <w:r w:rsidRPr="00D437EA">
        <w:rPr>
          <w:rFonts w:cs="Calibri"/>
          <w:spacing w:val="-3"/>
          <w:lang w:val="es-ES_tradnl"/>
        </w:rPr>
        <w:t>.</w:t>
      </w:r>
    </w:p>
    <w:p w:rsidR="00373138" w:rsidRPr="00D437EA" w:rsidRDefault="00373138" w:rsidP="0060295F">
      <w:pPr>
        <w:ind w:left="709"/>
        <w:rPr>
          <w:rFonts w:cs="Calibri"/>
        </w:rPr>
      </w:pPr>
    </w:p>
    <w:p w:rsidR="00373138" w:rsidRPr="00373138" w:rsidRDefault="00373138" w:rsidP="0060295F">
      <w:pPr>
        <w:ind w:left="709"/>
        <w:rPr>
          <w:rFonts w:cs="Calibri"/>
        </w:rPr>
      </w:pPr>
      <w:r w:rsidRPr="00D437EA">
        <w:rPr>
          <w:rFonts w:cs="Calibri"/>
        </w:rPr>
        <w:t xml:space="preserve">Ley de 1944 (TR 1946) </w:t>
      </w:r>
      <w:r w:rsidR="0060295F" w:rsidRPr="00D437EA">
        <w:rPr>
          <w:rFonts w:cs="Calibri"/>
        </w:rPr>
        <w:t xml:space="preserve">Finalmente esta </w:t>
      </w:r>
      <w:r w:rsidRPr="00D437EA">
        <w:rPr>
          <w:rFonts w:cs="Calibri"/>
        </w:rPr>
        <w:t xml:space="preserve">ley separó </w:t>
      </w:r>
      <w:r w:rsidR="0060295F" w:rsidRPr="00D437EA">
        <w:rPr>
          <w:rFonts w:cs="Calibri"/>
          <w:spacing w:val="-3"/>
          <w:lang w:val="es-ES_tradnl"/>
        </w:rPr>
        <w:t>del art 20 de todo lo relativo a la inmatriculación por título  público de adquisición, dedicando a esta materia el art 205 (REMISION)</w:t>
      </w:r>
    </w:p>
    <w:p w:rsidR="00373138" w:rsidRPr="008A42D9" w:rsidRDefault="00373138">
      <w:pPr>
        <w:rPr>
          <w:rFonts w:cs="Calibri"/>
          <w:b/>
          <w:u w:val="single"/>
        </w:rPr>
      </w:pPr>
    </w:p>
    <w:p w:rsidR="00ED72B5" w:rsidRPr="008A42D9" w:rsidRDefault="00ED72B5" w:rsidP="00ED72B5">
      <w:pPr>
        <w:rPr>
          <w:rFonts w:cs="Calibri"/>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tblGrid>
      <w:tr w:rsidR="00ED72B5" w:rsidRPr="0036297E" w:rsidTr="0036297E">
        <w:tc>
          <w:tcPr>
            <w:tcW w:w="2808" w:type="dxa"/>
          </w:tcPr>
          <w:p w:rsidR="00ED72B5" w:rsidRPr="0036297E" w:rsidRDefault="00ED72B5" w:rsidP="00935E74">
            <w:pPr>
              <w:rPr>
                <w:rFonts w:cs="Calibri"/>
                <w:b/>
              </w:rPr>
            </w:pPr>
            <w:r w:rsidRPr="0036297E">
              <w:rPr>
                <w:rFonts w:cs="Calibri"/>
                <w:b/>
              </w:rPr>
              <w:t xml:space="preserve">Examen del art 20 </w:t>
            </w:r>
            <w:r w:rsidR="0030667D" w:rsidRPr="0036297E">
              <w:rPr>
                <w:rFonts w:cs="Calibri"/>
                <w:b/>
              </w:rPr>
              <w:t xml:space="preserve">de la </w:t>
            </w:r>
            <w:r w:rsidRPr="0036297E">
              <w:rPr>
                <w:rFonts w:cs="Calibri"/>
                <w:b/>
              </w:rPr>
              <w:t>LH</w:t>
            </w:r>
          </w:p>
        </w:tc>
      </w:tr>
    </w:tbl>
    <w:p w:rsidR="0030667D" w:rsidRDefault="0030667D" w:rsidP="00ED72B5">
      <w:pPr>
        <w:rPr>
          <w:rFonts w:cs="Calibri"/>
        </w:rPr>
      </w:pPr>
    </w:p>
    <w:p w:rsidR="0060295F" w:rsidRDefault="0060295F" w:rsidP="0060295F">
      <w:pPr>
        <w:rPr>
          <w:rFonts w:cs="Calibri"/>
          <w:b/>
          <w:i/>
          <w:color w:val="7F7F7F"/>
        </w:rPr>
      </w:pPr>
      <w:r w:rsidRPr="0060295F">
        <w:rPr>
          <w:rFonts w:cs="Calibri"/>
          <w:b/>
          <w:i/>
          <w:color w:val="7F7F7F"/>
        </w:rPr>
        <w:t>Para inscribir o anotar títulos por los que se declaren, transmitan, graven, modifiquen o extingan el dominio y demás derechos reales sobre inmuebles, deberá constar previamente inscrito o anotado el derecho de la persona que otorgue o en cuyo nombre sean otorgados los actos referidos.</w:t>
      </w:r>
    </w:p>
    <w:p w:rsidR="0060295F" w:rsidRDefault="0060295F" w:rsidP="0060295F">
      <w:pPr>
        <w:rPr>
          <w:rFonts w:cs="Calibri"/>
        </w:rPr>
      </w:pPr>
    </w:p>
    <w:p w:rsidR="0060295F" w:rsidRDefault="0060295F" w:rsidP="0060295F">
      <w:pPr>
        <w:ind w:left="709"/>
        <w:rPr>
          <w:rFonts w:cs="Calibri"/>
          <w:b/>
          <w:i/>
          <w:color w:val="7F7F7F"/>
        </w:rPr>
      </w:pPr>
      <w:r w:rsidRPr="008A42D9">
        <w:rPr>
          <w:rFonts w:cs="Calibri"/>
        </w:rPr>
        <w:t xml:space="preserve">“inscribir o anotar” </w:t>
      </w:r>
      <w:r w:rsidR="001F529B">
        <w:rPr>
          <w:rFonts w:cs="Calibri"/>
        </w:rPr>
        <w:t>T</w:t>
      </w:r>
      <w:r w:rsidRPr="008A42D9">
        <w:rPr>
          <w:rFonts w:cs="Calibri"/>
        </w:rPr>
        <w:t>ambién se aplica a las notas marginales y cancelaciones</w:t>
      </w:r>
      <w:r>
        <w:rPr>
          <w:rFonts w:cs="Calibri"/>
        </w:rPr>
        <w:t xml:space="preserve"> (NO </w:t>
      </w:r>
      <w:r w:rsidRPr="008A42D9">
        <w:rPr>
          <w:rFonts w:cs="Calibri"/>
        </w:rPr>
        <w:t>al asiento de presentación</w:t>
      </w:r>
      <w:r>
        <w:rPr>
          <w:rFonts w:cs="Calibri"/>
        </w:rPr>
        <w:t>)</w:t>
      </w:r>
      <w:r w:rsidRPr="008A42D9">
        <w:rPr>
          <w:rFonts w:cs="Calibri"/>
        </w:rPr>
        <w:t>.</w:t>
      </w:r>
    </w:p>
    <w:p w:rsidR="0060295F" w:rsidRPr="0060295F" w:rsidRDefault="0060295F" w:rsidP="0060295F">
      <w:pPr>
        <w:rPr>
          <w:rFonts w:cs="Calibri"/>
          <w:b/>
          <w:i/>
          <w:color w:val="7F7F7F"/>
        </w:rPr>
      </w:pPr>
    </w:p>
    <w:p w:rsidR="0060295F" w:rsidRPr="0060295F" w:rsidRDefault="0060295F" w:rsidP="0060295F">
      <w:pPr>
        <w:rPr>
          <w:rFonts w:cs="Calibri"/>
          <w:b/>
          <w:i/>
          <w:color w:val="7F7F7F"/>
        </w:rPr>
      </w:pPr>
      <w:r w:rsidRPr="0060295F">
        <w:rPr>
          <w:rFonts w:cs="Calibri"/>
          <w:b/>
          <w:i/>
          <w:color w:val="7F7F7F"/>
        </w:rPr>
        <w:t>En el caso de resultar inscrito aquel derecho a favor de persona distinta de la que otorgue la transmisión o gravamen, los Registradores denegarán la inscripción solicitada.</w:t>
      </w:r>
    </w:p>
    <w:p w:rsidR="0060295F" w:rsidRDefault="0060295F" w:rsidP="0060295F">
      <w:pPr>
        <w:rPr>
          <w:rFonts w:cs="Calibri"/>
          <w:b/>
          <w:i/>
          <w:color w:val="7F7F7F"/>
        </w:rPr>
      </w:pPr>
    </w:p>
    <w:p w:rsidR="0060295F" w:rsidRPr="00C72DA8" w:rsidRDefault="0060295F" w:rsidP="0060295F">
      <w:pPr>
        <w:ind w:left="284"/>
        <w:rPr>
          <w:rFonts w:cs="Arial"/>
        </w:rPr>
      </w:pPr>
      <w:r>
        <w:rPr>
          <w:rFonts w:cs="Arial"/>
        </w:rPr>
        <w:t>U</w:t>
      </w:r>
      <w:r w:rsidRPr="00C72DA8">
        <w:rPr>
          <w:rFonts w:cs="Arial"/>
        </w:rPr>
        <w:t xml:space="preserve">n paliativo a tal rigor lo supone el </w:t>
      </w:r>
      <w:r w:rsidRPr="00C72DA8">
        <w:rPr>
          <w:rFonts w:cs="Arial"/>
          <w:b/>
        </w:rPr>
        <w:t>art 105 del RH</w:t>
      </w:r>
      <w:r w:rsidR="001F529B">
        <w:rPr>
          <w:rFonts w:cs="Arial"/>
          <w:b/>
        </w:rPr>
        <w:t>:</w:t>
      </w:r>
      <w:r w:rsidRPr="00C72DA8">
        <w:rPr>
          <w:rFonts w:cs="Arial"/>
        </w:rPr>
        <w:t xml:space="preserve"> el Rgdor no denegará sino que tan sólo “</w:t>
      </w:r>
      <w:r w:rsidRPr="00C72DA8">
        <w:rPr>
          <w:rFonts w:cs="Arial"/>
          <w:u w:val="single"/>
        </w:rPr>
        <w:t>suspenderá</w:t>
      </w:r>
      <w:r w:rsidRPr="00C72DA8">
        <w:rPr>
          <w:rFonts w:cs="Arial"/>
        </w:rPr>
        <w:t>” la inscripción en el caso de que el enajenante ó transmitente alegase</w:t>
      </w:r>
      <w:r w:rsidR="001F529B">
        <w:rPr>
          <w:rFonts w:cs="Arial"/>
        </w:rPr>
        <w:t>/resultase s</w:t>
      </w:r>
      <w:r w:rsidRPr="00C72DA8">
        <w:rPr>
          <w:rFonts w:cs="Arial"/>
        </w:rPr>
        <w:t>er CAUSAHABIENTE del tit</w:t>
      </w:r>
      <w:r w:rsidRPr="001F529B">
        <w:rPr>
          <w:rFonts w:cs="Arial"/>
        </w:rPr>
        <w:t>ular registral</w:t>
      </w:r>
      <w:r w:rsidR="001F529B" w:rsidRPr="001F529B">
        <w:rPr>
          <w:rFonts w:cs="Arial"/>
        </w:rPr>
        <w:t xml:space="preserve"> (</w:t>
      </w:r>
      <w:r w:rsidRPr="001F529B">
        <w:rPr>
          <w:rFonts w:cs="Arial"/>
        </w:rPr>
        <w:t>a solicitud del presentante</w:t>
      </w:r>
      <w:r w:rsidR="001F529B" w:rsidRPr="001F529B">
        <w:rPr>
          <w:rFonts w:cs="Arial"/>
        </w:rPr>
        <w:t>,</w:t>
      </w:r>
      <w:r w:rsidRPr="001F529B">
        <w:rPr>
          <w:rFonts w:cs="Arial"/>
        </w:rPr>
        <w:t xml:space="preserve"> el Registrador podrá practicar ap por defecto subsanable</w:t>
      </w:r>
      <w:r w:rsidR="001F529B" w:rsidRPr="001F529B">
        <w:rPr>
          <w:rFonts w:cs="Arial"/>
        </w:rPr>
        <w:t>)</w:t>
      </w:r>
      <w:r w:rsidRPr="00C72DA8">
        <w:rPr>
          <w:rFonts w:cs="Arial"/>
        </w:rPr>
        <w:t>.</w:t>
      </w:r>
    </w:p>
    <w:p w:rsidR="0060295F" w:rsidRPr="00C72DA8" w:rsidRDefault="0060295F" w:rsidP="0060295F">
      <w:pPr>
        <w:pStyle w:val="Textoindependiente"/>
        <w:spacing w:after="0"/>
        <w:rPr>
          <w:rFonts w:cs="Arial"/>
          <w:i/>
        </w:rPr>
      </w:pPr>
    </w:p>
    <w:p w:rsidR="0060295F" w:rsidRPr="00C72DA8" w:rsidRDefault="0060295F" w:rsidP="0060295F">
      <w:pPr>
        <w:pStyle w:val="Textoindependiente"/>
        <w:spacing w:after="0"/>
        <w:ind w:left="1418"/>
        <w:rPr>
          <w:rFonts w:cs="Arial"/>
        </w:rPr>
      </w:pPr>
      <w:r w:rsidRPr="00C72DA8">
        <w:rPr>
          <w:rFonts w:cs="Arial"/>
        </w:rPr>
        <w:t xml:space="preserve">Según </w:t>
      </w:r>
      <w:r w:rsidRPr="0060295F">
        <w:rPr>
          <w:rFonts w:cs="Arial"/>
        </w:rPr>
        <w:t xml:space="preserve">la doctrina mayoritaria el término causahabiente hay que interpretarlo </w:t>
      </w:r>
      <w:r w:rsidR="001F529B">
        <w:rPr>
          <w:rFonts w:cs="Arial"/>
        </w:rPr>
        <w:t>lato sensu</w:t>
      </w:r>
      <w:r w:rsidRPr="0060295F">
        <w:rPr>
          <w:rFonts w:cs="Arial"/>
        </w:rPr>
        <w:t xml:space="preserve"> </w:t>
      </w:r>
      <w:r>
        <w:rPr>
          <w:rFonts w:cs="Arial"/>
        </w:rPr>
        <w:t xml:space="preserve">(NO </w:t>
      </w:r>
      <w:r w:rsidRPr="0060295F">
        <w:rPr>
          <w:rFonts w:cs="Arial"/>
        </w:rPr>
        <w:t>sólo</w:t>
      </w:r>
      <w:r>
        <w:rPr>
          <w:rFonts w:cs="Arial"/>
        </w:rPr>
        <w:t xml:space="preserve"> </w:t>
      </w:r>
      <w:r w:rsidRPr="0060295F">
        <w:rPr>
          <w:rFonts w:cs="Arial"/>
        </w:rPr>
        <w:t>sucesorio</w:t>
      </w:r>
      <w:r w:rsidR="001F529B">
        <w:rPr>
          <w:rFonts w:cs="Arial"/>
        </w:rPr>
        <w:t xml:space="preserve">: </w:t>
      </w:r>
      <w:r>
        <w:rPr>
          <w:rFonts w:cs="Arial"/>
        </w:rPr>
        <w:t xml:space="preserve">también </w:t>
      </w:r>
      <w:r w:rsidRPr="0060295F">
        <w:rPr>
          <w:rFonts w:cs="Arial"/>
        </w:rPr>
        <w:t>inter vivos</w:t>
      </w:r>
      <w:r>
        <w:rPr>
          <w:rFonts w:cs="Arial"/>
        </w:rPr>
        <w:t>, por</w:t>
      </w:r>
      <w:r w:rsidRPr="0060295F">
        <w:rPr>
          <w:rFonts w:cs="Arial"/>
        </w:rPr>
        <w:t xml:space="preserve"> causa </w:t>
      </w:r>
      <w:r w:rsidRPr="00C72DA8">
        <w:rPr>
          <w:rFonts w:cs="Arial"/>
        </w:rPr>
        <w:t>onerosa ó gratuita</w:t>
      </w:r>
      <w:r>
        <w:rPr>
          <w:rFonts w:cs="Arial"/>
        </w:rPr>
        <w:t>)</w:t>
      </w:r>
      <w:r w:rsidRPr="00C72DA8">
        <w:rPr>
          <w:rFonts w:cs="Arial"/>
        </w:rPr>
        <w:t xml:space="preserve">.  </w:t>
      </w:r>
    </w:p>
    <w:p w:rsidR="0060295F" w:rsidRPr="0060295F" w:rsidRDefault="0060295F" w:rsidP="0060295F">
      <w:pPr>
        <w:rPr>
          <w:rFonts w:cs="Calibri"/>
          <w:b/>
          <w:i/>
          <w:color w:val="7F7F7F"/>
        </w:rPr>
      </w:pPr>
    </w:p>
    <w:p w:rsidR="0060295F" w:rsidRPr="0060295F" w:rsidRDefault="0060295F" w:rsidP="0060295F">
      <w:pPr>
        <w:rPr>
          <w:rFonts w:cs="Calibri"/>
          <w:b/>
          <w:i/>
          <w:color w:val="7F7F7F"/>
        </w:rPr>
      </w:pPr>
      <w:r w:rsidRPr="0060295F">
        <w:rPr>
          <w:rFonts w:cs="Calibri"/>
          <w:b/>
          <w:i/>
          <w:color w:val="7F7F7F"/>
        </w:rPr>
        <w:t>Cuando no resultare inscrito a favor de persona alguna el expresado derecho y no se acredite fuere inscribible con arreglo al artículo</w:t>
      </w:r>
      <w:r w:rsidR="00C749CB">
        <w:rPr>
          <w:rFonts w:cs="Calibri"/>
          <w:b/>
          <w:i/>
          <w:color w:val="7F7F7F"/>
        </w:rPr>
        <w:t xml:space="preserve"> 205</w:t>
      </w:r>
      <w:r w:rsidRPr="0060295F">
        <w:rPr>
          <w:rFonts w:cs="Calibri"/>
          <w:b/>
          <w:i/>
          <w:color w:val="7F7F7F"/>
        </w:rPr>
        <w:t xml:space="preserve">, los Registradores harán anotación preventiva a solicitud del interesado, la cual subsistirá durante el plazo que señala el artículo </w:t>
      </w:r>
      <w:r w:rsidR="001F529B">
        <w:rPr>
          <w:rFonts w:cs="Calibri"/>
          <w:b/>
          <w:i/>
          <w:color w:val="7F7F7F"/>
        </w:rPr>
        <w:t>96</w:t>
      </w:r>
      <w:r w:rsidRPr="0060295F">
        <w:rPr>
          <w:rFonts w:cs="Calibri"/>
          <w:b/>
          <w:i/>
          <w:color w:val="7F7F7F"/>
        </w:rPr>
        <w:t xml:space="preserve"> </w:t>
      </w:r>
      <w:r w:rsidR="001F529B">
        <w:rPr>
          <w:rFonts w:cs="Calibri"/>
          <w:b/>
          <w:i/>
          <w:color w:val="7F7F7F"/>
        </w:rPr>
        <w:t>LH</w:t>
      </w:r>
      <w:r w:rsidRPr="0060295F">
        <w:rPr>
          <w:rFonts w:cs="Calibri"/>
          <w:b/>
          <w:i/>
          <w:color w:val="7F7F7F"/>
        </w:rPr>
        <w:t>.</w:t>
      </w:r>
    </w:p>
    <w:p w:rsidR="0060295F" w:rsidRDefault="0060295F" w:rsidP="0060295F">
      <w:pPr>
        <w:rPr>
          <w:rFonts w:cs="Calibri"/>
          <w:b/>
          <w:i/>
          <w:color w:val="7F7F7F"/>
        </w:rPr>
      </w:pPr>
    </w:p>
    <w:p w:rsidR="00C749CB" w:rsidRPr="00C749CB" w:rsidRDefault="00C749CB" w:rsidP="00C749CB">
      <w:pPr>
        <w:pStyle w:val="Textoindependiente"/>
        <w:spacing w:after="0"/>
        <w:ind w:left="1418"/>
        <w:rPr>
          <w:rFonts w:cs="Arial"/>
        </w:rPr>
      </w:pPr>
      <w:r w:rsidRPr="00D437EA">
        <w:rPr>
          <w:rFonts w:cs="Arial"/>
        </w:rPr>
        <w:t>No sólo en caso de falta de inmatriculación de la finca</w:t>
      </w:r>
      <w:r w:rsidR="001F529B">
        <w:rPr>
          <w:rFonts w:cs="Arial"/>
        </w:rPr>
        <w:t>:</w:t>
      </w:r>
      <w:r w:rsidRPr="00D437EA">
        <w:rPr>
          <w:rFonts w:cs="Arial"/>
        </w:rPr>
        <w:t xml:space="preserve"> también en la transmisión de un derecho real limitativo que no estuviera inscrito (aunque la finca estuviera inmatriculada).</w:t>
      </w:r>
    </w:p>
    <w:p w:rsidR="00C749CB" w:rsidRPr="0060295F" w:rsidRDefault="00C749CB" w:rsidP="0060295F">
      <w:pPr>
        <w:rPr>
          <w:rFonts w:cs="Calibri"/>
          <w:b/>
          <w:i/>
          <w:color w:val="7F7F7F"/>
        </w:rPr>
      </w:pPr>
    </w:p>
    <w:p w:rsidR="0060295F" w:rsidRPr="0060295F" w:rsidRDefault="0060295F" w:rsidP="0060295F">
      <w:pPr>
        <w:rPr>
          <w:rFonts w:cs="Calibri"/>
          <w:b/>
          <w:i/>
          <w:color w:val="7F7F7F"/>
        </w:rPr>
      </w:pPr>
      <w:r>
        <w:rPr>
          <w:rFonts w:cs="Calibri"/>
          <w:b/>
          <w:i/>
          <w:color w:val="7F7F7F"/>
        </w:rPr>
        <w:t xml:space="preserve">(4) </w:t>
      </w:r>
      <w:r w:rsidRPr="0060295F">
        <w:rPr>
          <w:rFonts w:cs="Calibri"/>
          <w:b/>
          <w:i/>
          <w:color w:val="7F7F7F"/>
        </w:rPr>
        <w:t>No será necesaria la previa inscripción o anotación a favor de los mandatarios, representantes, liquidadores, albaceas y demás personas que con carácter temporal actúen como órganos de representación y dispongan de intereses ajenos en la forma permitida por las leyes.</w:t>
      </w:r>
    </w:p>
    <w:p w:rsidR="0060295F" w:rsidRDefault="0060295F" w:rsidP="0060295F">
      <w:pPr>
        <w:rPr>
          <w:rFonts w:cs="Calibri"/>
          <w:b/>
          <w:i/>
          <w:color w:val="7F7F7F"/>
        </w:rPr>
      </w:pPr>
    </w:p>
    <w:p w:rsidR="00131812" w:rsidRDefault="00131812" w:rsidP="00131812">
      <w:pPr>
        <w:ind w:left="568"/>
        <w:rPr>
          <w:rFonts w:cs="Calibri"/>
        </w:rPr>
      </w:pPr>
      <w:r>
        <w:rPr>
          <w:rFonts w:cs="Calibri"/>
        </w:rPr>
        <w:t>“albaceas”</w:t>
      </w:r>
      <w:r w:rsidRPr="00131812">
        <w:rPr>
          <w:rFonts w:cs="Calibri"/>
        </w:rPr>
        <w:t xml:space="preserve"> </w:t>
      </w:r>
      <w:r>
        <w:rPr>
          <w:rFonts w:cs="Calibri"/>
        </w:rPr>
        <w:t>L</w:t>
      </w:r>
      <w:r w:rsidRPr="00131812">
        <w:rPr>
          <w:rFonts w:cs="Calibri"/>
        </w:rPr>
        <w:t xml:space="preserve">a DGRN no </w:t>
      </w:r>
      <w:r>
        <w:rPr>
          <w:rFonts w:cs="Calibri"/>
        </w:rPr>
        <w:t xml:space="preserve">considera </w:t>
      </w:r>
      <w:r w:rsidRPr="00131812">
        <w:rPr>
          <w:rFonts w:cs="Calibri"/>
        </w:rPr>
        <w:t xml:space="preserve">necesaria la previa inscripción a nombre de los “herederos” para que pueden ser inscritos los actos dispositivos llevados a cabo por los albaceas conforme a lo dispuesto en el art 903 del Cc. Eso sí, salvo previa partición, </w:t>
      </w:r>
      <w:smartTag w:uri="urn:schemas-microsoft-com:office:smarttags" w:element="PersonName">
        <w:smartTagPr>
          <w:attr w:name="ProductID" w:val="la DGRN"/>
        </w:smartTagPr>
        <w:r w:rsidRPr="00131812">
          <w:rPr>
            <w:rFonts w:cs="Calibri"/>
          </w:rPr>
          <w:t>la DGRN</w:t>
        </w:r>
      </w:smartTag>
      <w:r w:rsidRPr="00131812">
        <w:rPr>
          <w:rFonts w:cs="Calibri"/>
        </w:rPr>
        <w:t xml:space="preserve"> exige el consentimiento de los legitimarios (como garantía de su legítima).</w:t>
      </w:r>
    </w:p>
    <w:p w:rsidR="00131812" w:rsidRPr="00131812" w:rsidRDefault="00131812" w:rsidP="00131812">
      <w:pPr>
        <w:ind w:left="568"/>
        <w:rPr>
          <w:rFonts w:cs="Calibri"/>
        </w:rPr>
      </w:pPr>
    </w:p>
    <w:p w:rsidR="00131812" w:rsidRDefault="00131812" w:rsidP="00131812">
      <w:pPr>
        <w:ind w:left="568"/>
        <w:rPr>
          <w:rFonts w:cs="Calibri"/>
        </w:rPr>
      </w:pPr>
      <w:r>
        <w:rPr>
          <w:rFonts w:cs="Calibri"/>
        </w:rPr>
        <w:t>“</w:t>
      </w:r>
      <w:r w:rsidRPr="00131812">
        <w:rPr>
          <w:rFonts w:cs="Calibri"/>
          <w:i/>
        </w:rPr>
        <w:t>temporal</w:t>
      </w:r>
      <w:r>
        <w:rPr>
          <w:rFonts w:cs="Calibri"/>
        </w:rPr>
        <w:t xml:space="preserve">” </w:t>
      </w:r>
      <w:r w:rsidRPr="008A42D9">
        <w:rPr>
          <w:rFonts w:cs="Calibri"/>
        </w:rPr>
        <w:t>Este p</w:t>
      </w:r>
      <w:r>
        <w:rPr>
          <w:rFonts w:cs="Calibri"/>
        </w:rPr>
        <w:t>árrafo</w:t>
      </w:r>
      <w:r w:rsidRPr="008A42D9">
        <w:rPr>
          <w:rFonts w:cs="Calibri"/>
        </w:rPr>
        <w:t xml:space="preserve"> solamente es aplicable a las </w:t>
      </w:r>
      <w:r w:rsidRPr="00AF424E">
        <w:rPr>
          <w:rFonts w:cs="Calibri"/>
        </w:rPr>
        <w:t xml:space="preserve">representaciones temporales </w:t>
      </w:r>
      <w:r w:rsidRPr="00AF424E">
        <w:rPr>
          <w:rFonts w:cs="Calibri"/>
          <w:b/>
        </w:rPr>
        <w:t>directas</w:t>
      </w:r>
      <w:r w:rsidRPr="008A42D9">
        <w:rPr>
          <w:rFonts w:cs="Calibri"/>
        </w:rPr>
        <w:t>. A sensu contrario será exigible la previa inscripción cuando se trate de representaciones permanentes ó representación indirecta</w:t>
      </w:r>
      <w:r>
        <w:rPr>
          <w:rFonts w:cs="Calibri"/>
        </w:rPr>
        <w:t>/</w:t>
      </w:r>
      <w:r w:rsidRPr="008A42D9">
        <w:rPr>
          <w:rFonts w:cs="Calibri"/>
        </w:rPr>
        <w:t>fiduciaria.</w:t>
      </w:r>
    </w:p>
    <w:p w:rsidR="00131812" w:rsidRDefault="00131812" w:rsidP="0060295F">
      <w:pPr>
        <w:rPr>
          <w:rFonts w:cs="Calibri"/>
          <w:b/>
          <w:i/>
          <w:color w:val="7F7F7F"/>
        </w:rPr>
      </w:pPr>
    </w:p>
    <w:p w:rsidR="0060295F" w:rsidRPr="0060295F" w:rsidRDefault="0060295F" w:rsidP="0060295F">
      <w:pPr>
        <w:rPr>
          <w:rFonts w:cs="Calibri"/>
          <w:b/>
          <w:i/>
          <w:color w:val="7F7F7F"/>
        </w:rPr>
      </w:pPr>
      <w:r>
        <w:rPr>
          <w:rFonts w:cs="Calibri"/>
          <w:b/>
          <w:i/>
          <w:color w:val="7F7F7F"/>
        </w:rPr>
        <w:t xml:space="preserve">(5) </w:t>
      </w:r>
      <w:r w:rsidRPr="0060295F">
        <w:rPr>
          <w:rFonts w:cs="Calibri"/>
          <w:b/>
          <w:i/>
          <w:color w:val="7F7F7F"/>
        </w:rPr>
        <w:t>Tampoco será precisa dicha inscripción previa para inscribir los documentos otorgados por los herederos:</w:t>
      </w:r>
    </w:p>
    <w:p w:rsidR="0060295F" w:rsidRPr="0060295F" w:rsidRDefault="0060295F" w:rsidP="0060295F">
      <w:pPr>
        <w:rPr>
          <w:rFonts w:cs="Calibri"/>
          <w:b/>
          <w:i/>
          <w:color w:val="7F7F7F"/>
        </w:rPr>
      </w:pPr>
    </w:p>
    <w:p w:rsidR="0060295F" w:rsidRPr="0060295F" w:rsidRDefault="0060295F" w:rsidP="0060295F">
      <w:pPr>
        <w:ind w:left="709"/>
        <w:rPr>
          <w:rFonts w:cs="Calibri"/>
          <w:b/>
          <w:i/>
          <w:color w:val="7F7F7F"/>
        </w:rPr>
      </w:pPr>
      <w:r>
        <w:rPr>
          <w:rFonts w:cs="Calibri"/>
          <w:b/>
          <w:i/>
          <w:color w:val="7F7F7F"/>
        </w:rPr>
        <w:t>1º</w:t>
      </w:r>
      <w:r w:rsidRPr="0060295F">
        <w:rPr>
          <w:rFonts w:cs="Calibri"/>
          <w:b/>
          <w:i/>
          <w:color w:val="7F7F7F"/>
        </w:rPr>
        <w:t>. Cuando ratifiquen contratos privados realizados por su causante, siempre que consten por escrito y firmados por éste.</w:t>
      </w:r>
    </w:p>
    <w:p w:rsidR="0060295F" w:rsidRPr="0060295F" w:rsidRDefault="0060295F" w:rsidP="0060295F">
      <w:pPr>
        <w:ind w:left="709"/>
        <w:rPr>
          <w:rFonts w:cs="Calibri"/>
          <w:b/>
          <w:i/>
          <w:color w:val="7F7F7F"/>
        </w:rPr>
      </w:pPr>
    </w:p>
    <w:p w:rsidR="0060295F" w:rsidRPr="0060295F" w:rsidRDefault="0060295F" w:rsidP="0060295F">
      <w:pPr>
        <w:ind w:left="709"/>
        <w:rPr>
          <w:rFonts w:cs="Calibri"/>
          <w:b/>
          <w:i/>
          <w:color w:val="7F7F7F"/>
        </w:rPr>
      </w:pPr>
      <w:r>
        <w:rPr>
          <w:rFonts w:cs="Calibri"/>
          <w:b/>
          <w:i/>
          <w:color w:val="7F7F7F"/>
        </w:rPr>
        <w:t>2º</w:t>
      </w:r>
      <w:r w:rsidRPr="0060295F">
        <w:rPr>
          <w:rFonts w:cs="Calibri"/>
          <w:b/>
          <w:i/>
          <w:color w:val="7F7F7F"/>
        </w:rPr>
        <w:t>. Cuando vendieren o cedieren a un coheredero fincas adjudicadas proindiviso a los vendedores o cedentes, pero en la inscripción que se haga habrá de expresarse dicha previa adjudicación proindiviso con referencia al título en que así constare. Y</w:t>
      </w:r>
    </w:p>
    <w:p w:rsidR="0060295F" w:rsidRPr="0060295F" w:rsidRDefault="0060295F" w:rsidP="0060295F">
      <w:pPr>
        <w:ind w:left="709"/>
        <w:rPr>
          <w:rFonts w:cs="Calibri"/>
          <w:b/>
          <w:i/>
          <w:color w:val="7F7F7F"/>
        </w:rPr>
      </w:pPr>
    </w:p>
    <w:p w:rsidR="0060295F" w:rsidRPr="0060295F" w:rsidRDefault="0060295F" w:rsidP="0060295F">
      <w:pPr>
        <w:ind w:left="709"/>
        <w:rPr>
          <w:rFonts w:cs="Calibri"/>
          <w:b/>
          <w:i/>
          <w:color w:val="7F7F7F"/>
        </w:rPr>
      </w:pPr>
      <w:r>
        <w:rPr>
          <w:rFonts w:cs="Calibri"/>
          <w:b/>
          <w:i/>
          <w:color w:val="7F7F7F"/>
        </w:rPr>
        <w:t>3º</w:t>
      </w:r>
      <w:r w:rsidRPr="0060295F">
        <w:rPr>
          <w:rFonts w:cs="Calibri"/>
          <w:b/>
          <w:i/>
          <w:color w:val="7F7F7F"/>
        </w:rPr>
        <w:t>. Cuando se trate de testimonios de decretos de adjudicación o escritura de venta verificada en nombre de los herederos del ejecutado en virtud de ejecución de sentencia, con tal que el inmueble o derecho real se halle inscrito a favor del causante.</w:t>
      </w:r>
    </w:p>
    <w:p w:rsidR="0060295F" w:rsidRPr="0060295F" w:rsidRDefault="0060295F" w:rsidP="0060295F">
      <w:pPr>
        <w:rPr>
          <w:rFonts w:cs="Calibri"/>
          <w:b/>
          <w:i/>
          <w:color w:val="7F7F7F"/>
        </w:rPr>
      </w:pPr>
    </w:p>
    <w:p w:rsidR="0060295F" w:rsidRPr="0060295F" w:rsidRDefault="0060295F" w:rsidP="0060295F">
      <w:pPr>
        <w:rPr>
          <w:rFonts w:cs="Calibri"/>
          <w:b/>
          <w:i/>
          <w:color w:val="7F7F7F"/>
        </w:rPr>
      </w:pPr>
      <w:r>
        <w:rPr>
          <w:rFonts w:cs="Calibri"/>
          <w:b/>
          <w:i/>
          <w:color w:val="7F7F7F"/>
        </w:rPr>
        <w:t xml:space="preserve">(6) </w:t>
      </w:r>
      <w:r w:rsidRPr="0060295F">
        <w:rPr>
          <w:rFonts w:cs="Calibri"/>
          <w:b/>
          <w:i/>
          <w:color w:val="7F7F7F"/>
        </w:rPr>
        <w:t>Cuando en una partición de herencia, verificada después del fallecimiento de algún heredero, se adjudiquen a los que lo fuesen de éste los bienes que a aquél correspondían, deberá practicarse la inscripción a favor de los adjudicatarios, pero haciéndose constar en ella las transmisiones realizadas.</w:t>
      </w:r>
    </w:p>
    <w:p w:rsidR="0060295F" w:rsidRPr="0060295F" w:rsidRDefault="0060295F" w:rsidP="0060295F">
      <w:pPr>
        <w:rPr>
          <w:rFonts w:cs="Calibri"/>
          <w:b/>
          <w:i/>
          <w:color w:val="7F7F7F"/>
        </w:rPr>
      </w:pPr>
    </w:p>
    <w:p w:rsidR="0060295F" w:rsidRDefault="0060295F" w:rsidP="0060295F">
      <w:pPr>
        <w:rPr>
          <w:rFonts w:cs="Calibri"/>
          <w:b/>
          <w:i/>
          <w:color w:val="7F7F7F"/>
        </w:rPr>
      </w:pPr>
      <w:r>
        <w:rPr>
          <w:rFonts w:cs="Calibri"/>
          <w:b/>
          <w:i/>
          <w:color w:val="7F7F7F"/>
        </w:rPr>
        <w:t xml:space="preserve">(7) </w:t>
      </w:r>
      <w:r w:rsidRPr="0060295F">
        <w:rPr>
          <w:rFonts w:cs="Calibri"/>
          <w:b/>
          <w:i/>
          <w:color w:val="7F7F7F"/>
        </w:rPr>
        <w:t>No podrá tomarse anotación de demanda, embargo o prohibición de disponer, ni cualquier otra prevista en la ley, si el titular registral es persona distinta de aquella contra la cual se ha dirigido el procedimiento. En los procedimientos criminales y en los de decomiso podrá tomarse anotación de embargo preventivo o de prohibición de disponer de los bienes, como medida cautelar, cuando a juicio del juez o tribunal existan indicios racionales de que el verdadero titular de los mismos es el encausado, haciéndolo constar así en el mandamiento.</w:t>
      </w:r>
    </w:p>
    <w:p w:rsidR="0060295F" w:rsidRDefault="0060295F" w:rsidP="0060295F">
      <w:pPr>
        <w:rPr>
          <w:rFonts w:cs="Calibri"/>
          <w:b/>
          <w:i/>
          <w:color w:val="7F7F7F"/>
        </w:rPr>
      </w:pPr>
    </w:p>
    <w:p w:rsidR="00C72DA8" w:rsidRPr="008A42D9" w:rsidRDefault="00C72DA8" w:rsidP="0055270A">
      <w:pPr>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55270A" w:rsidRPr="008A42D9">
        <w:tc>
          <w:tcPr>
            <w:tcW w:w="9494" w:type="dxa"/>
          </w:tcPr>
          <w:p w:rsidR="0055270A" w:rsidRPr="008A42D9" w:rsidRDefault="0055270A" w:rsidP="00935E74">
            <w:pPr>
              <w:jc w:val="center"/>
              <w:rPr>
                <w:rFonts w:cs="Calibri"/>
                <w:b/>
              </w:rPr>
            </w:pPr>
            <w:r w:rsidRPr="008A42D9">
              <w:rPr>
                <w:rFonts w:cs="Calibri"/>
                <w:b/>
              </w:rPr>
              <w:t>TRACTO ABREVIADO: SU FUNDAMENTO</w:t>
            </w:r>
          </w:p>
        </w:tc>
      </w:tr>
    </w:tbl>
    <w:p w:rsidR="0055270A" w:rsidRPr="008A42D9" w:rsidRDefault="0055270A">
      <w:pPr>
        <w:rPr>
          <w:rFonts w:cs="Calibri"/>
        </w:rPr>
      </w:pPr>
    </w:p>
    <w:p w:rsidR="0082662D" w:rsidRDefault="00C03727" w:rsidP="00C03727">
      <w:pPr>
        <w:rPr>
          <w:rFonts w:cs="Calibri"/>
        </w:rPr>
      </w:pPr>
      <w:r w:rsidRPr="00C03727">
        <w:rPr>
          <w:rFonts w:cs="Calibri"/>
        </w:rPr>
        <w:t xml:space="preserve">El TRACTO ABREVIADO </w:t>
      </w:r>
      <w:r w:rsidR="0055270A" w:rsidRPr="00C03727">
        <w:rPr>
          <w:rFonts w:cs="Calibri"/>
        </w:rPr>
        <w:t xml:space="preserve"> tiene lugar </w:t>
      </w:r>
      <w:r w:rsidR="0055270A" w:rsidRPr="00C03727">
        <w:rPr>
          <w:rFonts w:cs="Calibri"/>
          <w:u w:val="single"/>
        </w:rPr>
        <w:t>cuando en un solo asiento registral se reflejan 2 ó más transmisiones que deberían constar en asientos separados</w:t>
      </w:r>
      <w:r w:rsidR="0055270A" w:rsidRPr="008A42D9">
        <w:rPr>
          <w:rFonts w:cs="Calibri"/>
        </w:rPr>
        <w:t xml:space="preserve">. </w:t>
      </w:r>
      <w:r w:rsidR="0060295F">
        <w:rPr>
          <w:rFonts w:cs="Calibri"/>
        </w:rPr>
        <w:t>S</w:t>
      </w:r>
      <w:r w:rsidR="0055270A" w:rsidRPr="008A42D9">
        <w:rPr>
          <w:rFonts w:cs="Calibri"/>
        </w:rPr>
        <w:t xml:space="preserve">upone una excepción a la regla </w:t>
      </w:r>
      <w:r w:rsidR="0060295F">
        <w:rPr>
          <w:rFonts w:cs="Calibri"/>
        </w:rPr>
        <w:t xml:space="preserve">(general) </w:t>
      </w:r>
      <w:r w:rsidR="0055270A" w:rsidRPr="008A42D9">
        <w:rPr>
          <w:rFonts w:cs="Calibri"/>
        </w:rPr>
        <w:t xml:space="preserve">“1 acto, 1 asiento”. </w:t>
      </w:r>
    </w:p>
    <w:p w:rsidR="0082662D" w:rsidRDefault="0082662D" w:rsidP="00C03727">
      <w:pPr>
        <w:rPr>
          <w:rFonts w:cs="Calibri"/>
        </w:rPr>
      </w:pPr>
    </w:p>
    <w:p w:rsidR="0060295F" w:rsidRDefault="00B41789" w:rsidP="00C03727">
      <w:pPr>
        <w:rPr>
          <w:rFonts w:cs="Calibri"/>
        </w:rPr>
      </w:pPr>
      <w:r>
        <w:rPr>
          <w:rFonts w:cs="Calibri"/>
        </w:rPr>
        <w:t xml:space="preserve">SU fundamento es evitar inscripciones meramente formularias. </w:t>
      </w:r>
    </w:p>
    <w:p w:rsidR="0060295F" w:rsidRDefault="0060295F" w:rsidP="00C03727">
      <w:pPr>
        <w:rPr>
          <w:rFonts w:cs="Calibri"/>
        </w:rPr>
      </w:pPr>
    </w:p>
    <w:p w:rsidR="0055270A" w:rsidRPr="008A42D9" w:rsidRDefault="0060295F" w:rsidP="0082662D">
      <w:pPr>
        <w:jc w:val="center"/>
        <w:rPr>
          <w:rFonts w:cs="Calibri"/>
        </w:rPr>
      </w:pPr>
      <w:r>
        <w:rPr>
          <w:rFonts w:cs="Calibri"/>
        </w:rPr>
        <w:t>SUPUESTOS</w:t>
      </w:r>
    </w:p>
    <w:p w:rsidR="0055270A" w:rsidRDefault="0055270A" w:rsidP="0055270A">
      <w:pPr>
        <w:rPr>
          <w:rFonts w:cs="Calibri"/>
        </w:rPr>
      </w:pPr>
    </w:p>
    <w:p w:rsidR="00C03727" w:rsidRPr="00611942" w:rsidRDefault="00C03727" w:rsidP="0060295F">
      <w:pPr>
        <w:ind w:left="454" w:hanging="454"/>
        <w:rPr>
          <w:rFonts w:cs="Arial"/>
          <w:i/>
          <w:sz w:val="20"/>
          <w:szCs w:val="20"/>
          <w:highlight w:val="yellow"/>
        </w:rPr>
      </w:pPr>
      <w:r w:rsidRPr="00C03727">
        <w:rPr>
          <w:rFonts w:cs="Arial"/>
          <w:b/>
        </w:rPr>
        <w:t>20</w:t>
      </w:r>
      <w:r w:rsidR="0060295F">
        <w:rPr>
          <w:rFonts w:cs="Arial"/>
          <w:b/>
        </w:rPr>
        <w:t>.</w:t>
      </w:r>
      <w:r w:rsidRPr="00C03727">
        <w:rPr>
          <w:rFonts w:cs="Arial"/>
          <w:b/>
        </w:rPr>
        <w:t>5</w:t>
      </w:r>
      <w:r w:rsidR="0060295F">
        <w:rPr>
          <w:rFonts w:cs="Arial"/>
          <w:b/>
        </w:rPr>
        <w:t>.</w:t>
      </w:r>
      <w:r w:rsidRPr="00C03727">
        <w:rPr>
          <w:rFonts w:cs="Arial"/>
          <w:b/>
        </w:rPr>
        <w:t>2</w:t>
      </w:r>
      <w:r w:rsidR="00AF424E">
        <w:rPr>
          <w:rFonts w:cs="Arial"/>
          <w:b/>
        </w:rPr>
        <w:t>ª</w:t>
      </w:r>
      <w:r w:rsidR="0060295F">
        <w:rPr>
          <w:rFonts w:cs="Arial"/>
          <w:b/>
        </w:rPr>
        <w:t xml:space="preserve"> </w:t>
      </w:r>
      <w:r w:rsidR="00520EEF" w:rsidRPr="00D437EA">
        <w:rPr>
          <w:rFonts w:cs="Arial"/>
        </w:rPr>
        <w:t xml:space="preserve">Aquí ya ha habido partición de la herencia </w:t>
      </w:r>
      <w:r w:rsidR="0060295F" w:rsidRPr="00611942">
        <w:rPr>
          <w:rFonts w:cs="Arial"/>
          <w:i/>
          <w:sz w:val="20"/>
          <w:szCs w:val="20"/>
          <w:highlight w:val="yellow"/>
        </w:rPr>
        <w:t>(</w:t>
      </w:r>
      <w:r w:rsidR="00520EEF" w:rsidRPr="00611942">
        <w:rPr>
          <w:rFonts w:cs="Arial"/>
          <w:i/>
          <w:sz w:val="20"/>
          <w:szCs w:val="20"/>
          <w:highlight w:val="yellow"/>
        </w:rPr>
        <w:t>ENTIENDELO SOLO</w:t>
      </w:r>
      <w:r w:rsidRPr="00611942">
        <w:rPr>
          <w:rFonts w:cs="Arial"/>
          <w:i/>
          <w:sz w:val="20"/>
          <w:szCs w:val="20"/>
          <w:highlight w:val="yellow"/>
        </w:rPr>
        <w:t xml:space="preserve"> </w:t>
      </w:r>
      <w:r w:rsidR="00520EEF" w:rsidRPr="00611942">
        <w:rPr>
          <w:rFonts w:cs="Arial"/>
          <w:i/>
          <w:sz w:val="20"/>
          <w:szCs w:val="20"/>
          <w:highlight w:val="yellow"/>
        </w:rPr>
        <w:t>E</w:t>
      </w:r>
      <w:r w:rsidRPr="00611942">
        <w:rPr>
          <w:rFonts w:cs="Arial"/>
          <w:i/>
          <w:sz w:val="20"/>
          <w:szCs w:val="20"/>
          <w:highlight w:val="yellow"/>
        </w:rPr>
        <w:t>n un mismo asiento constarán 2 transmisiones:</w:t>
      </w:r>
      <w:r w:rsidR="0060295F" w:rsidRPr="00611942">
        <w:rPr>
          <w:rFonts w:cs="Arial"/>
          <w:i/>
          <w:sz w:val="20"/>
          <w:szCs w:val="20"/>
          <w:highlight w:val="yellow"/>
        </w:rPr>
        <w:t xml:space="preserve"> d</w:t>
      </w:r>
      <w:r w:rsidRPr="00611942">
        <w:rPr>
          <w:rFonts w:cs="Arial"/>
          <w:i/>
          <w:sz w:val="20"/>
          <w:szCs w:val="20"/>
          <w:highlight w:val="yellow"/>
        </w:rPr>
        <w:t>el causante a los coherederos adjudicatarios;</w:t>
      </w:r>
      <w:r w:rsidR="0060295F" w:rsidRPr="00611942">
        <w:rPr>
          <w:rFonts w:cs="Arial"/>
          <w:i/>
          <w:sz w:val="20"/>
          <w:szCs w:val="20"/>
          <w:highlight w:val="yellow"/>
        </w:rPr>
        <w:t xml:space="preserve"> y de dichos </w:t>
      </w:r>
      <w:r w:rsidRPr="00611942">
        <w:rPr>
          <w:rFonts w:cs="Arial"/>
          <w:i/>
          <w:sz w:val="20"/>
          <w:szCs w:val="20"/>
          <w:highlight w:val="yellow"/>
        </w:rPr>
        <w:t>adjudicatarios al coheredero que no era partícipe</w:t>
      </w:r>
      <w:r w:rsidR="0060295F" w:rsidRPr="00611942">
        <w:rPr>
          <w:rFonts w:cs="Arial"/>
          <w:i/>
          <w:sz w:val="20"/>
          <w:szCs w:val="20"/>
          <w:highlight w:val="yellow"/>
        </w:rPr>
        <w:t>)</w:t>
      </w:r>
      <w:r w:rsidRPr="00611942">
        <w:rPr>
          <w:rFonts w:cs="Arial"/>
          <w:i/>
          <w:sz w:val="20"/>
          <w:szCs w:val="20"/>
          <w:highlight w:val="yellow"/>
        </w:rPr>
        <w:t>.</w:t>
      </w:r>
    </w:p>
    <w:p w:rsidR="00C03727" w:rsidRPr="00C03727" w:rsidRDefault="00C03727" w:rsidP="00C03727">
      <w:pPr>
        <w:rPr>
          <w:rFonts w:cs="Arial"/>
        </w:rPr>
      </w:pPr>
    </w:p>
    <w:p w:rsidR="00C03727" w:rsidRPr="00611942" w:rsidRDefault="00C03727" w:rsidP="00520EEF">
      <w:pPr>
        <w:ind w:left="454" w:hanging="454"/>
        <w:rPr>
          <w:rFonts w:cs="Arial"/>
          <w:i/>
          <w:sz w:val="20"/>
          <w:szCs w:val="20"/>
        </w:rPr>
      </w:pPr>
      <w:r w:rsidRPr="00C03727">
        <w:rPr>
          <w:rFonts w:cs="Arial"/>
          <w:b/>
        </w:rPr>
        <w:t>20</w:t>
      </w:r>
      <w:r w:rsidR="00520EEF">
        <w:rPr>
          <w:rFonts w:cs="Arial"/>
          <w:b/>
        </w:rPr>
        <w:t>.</w:t>
      </w:r>
      <w:r w:rsidRPr="00C03727">
        <w:rPr>
          <w:rFonts w:cs="Arial"/>
          <w:b/>
        </w:rPr>
        <w:t>6</w:t>
      </w:r>
      <w:r w:rsidRPr="00C03727">
        <w:rPr>
          <w:rFonts w:cs="Arial"/>
        </w:rPr>
        <w:t xml:space="preserve"> </w:t>
      </w:r>
      <w:r w:rsidR="00520EEF" w:rsidRPr="00611942">
        <w:rPr>
          <w:rFonts w:cs="Arial"/>
          <w:i/>
          <w:sz w:val="20"/>
          <w:szCs w:val="20"/>
          <w:highlight w:val="yellow"/>
        </w:rPr>
        <w:t xml:space="preserve">(ENTIENDELO </w:t>
      </w:r>
      <w:r w:rsidRPr="00611942">
        <w:rPr>
          <w:rFonts w:cs="Arial"/>
          <w:i/>
          <w:sz w:val="20"/>
          <w:szCs w:val="20"/>
          <w:highlight w:val="yellow"/>
        </w:rPr>
        <w:t>En este caso, en un mismo asiento también se ha</w:t>
      </w:r>
      <w:r w:rsidR="00520EEF" w:rsidRPr="00611942">
        <w:rPr>
          <w:rFonts w:cs="Arial"/>
          <w:i/>
          <w:sz w:val="20"/>
          <w:szCs w:val="20"/>
          <w:highlight w:val="yellow"/>
        </w:rPr>
        <w:t>ce</w:t>
      </w:r>
      <w:r w:rsidRPr="00611942">
        <w:rPr>
          <w:rFonts w:cs="Arial"/>
          <w:i/>
          <w:sz w:val="20"/>
          <w:szCs w:val="20"/>
          <w:highlight w:val="yellow"/>
        </w:rPr>
        <w:t>n constar 2 transmisiones:</w:t>
      </w:r>
      <w:r w:rsidR="00520EEF" w:rsidRPr="00611942">
        <w:rPr>
          <w:rFonts w:cs="Arial"/>
          <w:i/>
          <w:sz w:val="20"/>
          <w:szCs w:val="20"/>
          <w:highlight w:val="yellow"/>
        </w:rPr>
        <w:t xml:space="preserve"> </w:t>
      </w:r>
      <w:r w:rsidRPr="00611942">
        <w:rPr>
          <w:rFonts w:cs="Arial"/>
          <w:i/>
          <w:sz w:val="20"/>
          <w:szCs w:val="20"/>
          <w:highlight w:val="yellow"/>
        </w:rPr>
        <w:t>del causante a su heredero fallecido;</w:t>
      </w:r>
      <w:r w:rsidR="00520EEF" w:rsidRPr="00611942">
        <w:rPr>
          <w:rFonts w:cs="Arial"/>
          <w:i/>
          <w:sz w:val="20"/>
          <w:szCs w:val="20"/>
          <w:highlight w:val="yellow"/>
        </w:rPr>
        <w:t xml:space="preserve"> y de éste a </w:t>
      </w:r>
      <w:r w:rsidRPr="00611942">
        <w:rPr>
          <w:rFonts w:cs="Arial"/>
          <w:i/>
          <w:sz w:val="20"/>
          <w:szCs w:val="20"/>
          <w:highlight w:val="yellow"/>
        </w:rPr>
        <w:t>sus herederos</w:t>
      </w:r>
      <w:r w:rsidR="00520EEF" w:rsidRPr="00611942">
        <w:rPr>
          <w:rFonts w:cs="Arial"/>
          <w:i/>
          <w:sz w:val="20"/>
          <w:szCs w:val="20"/>
          <w:highlight w:val="yellow"/>
        </w:rPr>
        <w:t>)</w:t>
      </w:r>
      <w:r w:rsidRPr="00611942">
        <w:rPr>
          <w:rFonts w:cs="Arial"/>
          <w:i/>
          <w:sz w:val="20"/>
          <w:szCs w:val="20"/>
        </w:rPr>
        <w:t>.</w:t>
      </w:r>
    </w:p>
    <w:p w:rsidR="00C03727" w:rsidRPr="00C03727" w:rsidRDefault="00C03727" w:rsidP="00C03727">
      <w:pPr>
        <w:rPr>
          <w:rFonts w:ascii="Arial" w:hAnsi="Arial" w:cs="Arial"/>
        </w:rPr>
      </w:pPr>
    </w:p>
    <w:p w:rsidR="00C03727" w:rsidRPr="00611942" w:rsidRDefault="00C03727" w:rsidP="00520EEF">
      <w:pPr>
        <w:ind w:left="397" w:hanging="397"/>
        <w:rPr>
          <w:rFonts w:cs="Arial"/>
          <w:i/>
          <w:sz w:val="20"/>
          <w:szCs w:val="20"/>
          <w:highlight w:val="yellow"/>
        </w:rPr>
      </w:pPr>
      <w:r w:rsidRPr="00B15CD5">
        <w:rPr>
          <w:rFonts w:cs="Arial"/>
          <w:b/>
          <w:color w:val="984806"/>
        </w:rPr>
        <w:t>49 RH</w:t>
      </w:r>
      <w:r w:rsidRPr="00C03727">
        <w:rPr>
          <w:rFonts w:cs="Arial"/>
        </w:rPr>
        <w:t xml:space="preserve"> </w:t>
      </w:r>
      <w:r w:rsidR="00520EEF">
        <w:rPr>
          <w:rFonts w:cs="Arial"/>
        </w:rPr>
        <w:t xml:space="preserve">Agrupación/Segregación y su enajenación en un mismo título </w:t>
      </w:r>
      <w:r w:rsidR="00520EEF" w:rsidRPr="00611942">
        <w:rPr>
          <w:rFonts w:cs="Arial"/>
          <w:i/>
          <w:sz w:val="20"/>
          <w:szCs w:val="20"/>
          <w:highlight w:val="yellow"/>
        </w:rPr>
        <w:t>(ENTIÉNDELO</w:t>
      </w:r>
      <w:r w:rsidRPr="00611942">
        <w:rPr>
          <w:rFonts w:cs="Arial"/>
          <w:i/>
          <w:sz w:val="20"/>
          <w:szCs w:val="20"/>
          <w:highlight w:val="yellow"/>
        </w:rPr>
        <w:t xml:space="preserve"> el titular registral AGRUP</w:t>
      </w:r>
      <w:r w:rsidR="00520EEF" w:rsidRPr="00611942">
        <w:rPr>
          <w:rFonts w:cs="Arial"/>
          <w:i/>
          <w:sz w:val="20"/>
          <w:szCs w:val="20"/>
          <w:highlight w:val="yellow"/>
        </w:rPr>
        <w:t>A</w:t>
      </w:r>
      <w:r w:rsidRPr="00611942">
        <w:rPr>
          <w:rFonts w:cs="Arial"/>
          <w:i/>
          <w:sz w:val="20"/>
          <w:szCs w:val="20"/>
          <w:highlight w:val="yellow"/>
        </w:rPr>
        <w:t xml:space="preserve"> 2 ó mas </w:t>
      </w:r>
      <w:r w:rsidR="00520EEF" w:rsidRPr="00611942">
        <w:rPr>
          <w:rFonts w:cs="Arial"/>
          <w:i/>
          <w:sz w:val="20"/>
          <w:szCs w:val="20"/>
          <w:highlight w:val="yellow"/>
        </w:rPr>
        <w:t>fincas</w:t>
      </w:r>
      <w:r w:rsidRPr="00611942">
        <w:rPr>
          <w:rFonts w:cs="Arial"/>
          <w:i/>
          <w:sz w:val="20"/>
          <w:szCs w:val="20"/>
          <w:highlight w:val="yellow"/>
        </w:rPr>
        <w:t xml:space="preserve"> suyas y proceda a la VENTA de la finca agrupada</w:t>
      </w:r>
      <w:r w:rsidR="00520EEF" w:rsidRPr="00611942">
        <w:rPr>
          <w:rFonts w:cs="Arial"/>
          <w:i/>
          <w:sz w:val="20"/>
          <w:szCs w:val="20"/>
          <w:highlight w:val="yellow"/>
        </w:rPr>
        <w:t>: e</w:t>
      </w:r>
      <w:r w:rsidRPr="00611942">
        <w:rPr>
          <w:rFonts w:cs="Arial"/>
          <w:i/>
          <w:sz w:val="20"/>
          <w:szCs w:val="20"/>
          <w:highlight w:val="yellow"/>
        </w:rPr>
        <w:t>n este caso, en un mismo asiento constará</w:t>
      </w:r>
      <w:r w:rsidR="00520EEF" w:rsidRPr="00611942">
        <w:rPr>
          <w:rFonts w:cs="Arial"/>
          <w:i/>
          <w:sz w:val="20"/>
          <w:szCs w:val="20"/>
          <w:highlight w:val="yellow"/>
        </w:rPr>
        <w:t xml:space="preserve"> </w:t>
      </w:r>
      <w:r w:rsidRPr="00611942">
        <w:rPr>
          <w:rFonts w:cs="Arial"/>
          <w:i/>
          <w:sz w:val="20"/>
          <w:szCs w:val="20"/>
          <w:highlight w:val="yellow"/>
        </w:rPr>
        <w:t>la agrupación</w:t>
      </w:r>
      <w:r w:rsidR="00520EEF" w:rsidRPr="00611942">
        <w:rPr>
          <w:rFonts w:cs="Arial"/>
          <w:i/>
          <w:sz w:val="20"/>
          <w:szCs w:val="20"/>
          <w:highlight w:val="yellow"/>
        </w:rPr>
        <w:t xml:space="preserve"> y </w:t>
      </w:r>
      <w:r w:rsidRPr="00611942">
        <w:rPr>
          <w:rFonts w:cs="Arial"/>
          <w:i/>
          <w:sz w:val="20"/>
          <w:szCs w:val="20"/>
          <w:highlight w:val="yellow"/>
        </w:rPr>
        <w:t>la enajenación de la finca agrupada</w:t>
      </w:r>
      <w:r w:rsidR="00520EEF" w:rsidRPr="00611942">
        <w:rPr>
          <w:rFonts w:cs="Arial"/>
          <w:i/>
          <w:sz w:val="20"/>
          <w:szCs w:val="20"/>
          <w:highlight w:val="yellow"/>
        </w:rPr>
        <w:t xml:space="preserve"> / Idem </w:t>
      </w:r>
      <w:r w:rsidRPr="00611942">
        <w:rPr>
          <w:rFonts w:cs="Arial"/>
          <w:i/>
          <w:sz w:val="20"/>
          <w:szCs w:val="20"/>
          <w:highlight w:val="yellow"/>
        </w:rPr>
        <w:t xml:space="preserve">en el caso de que titular registral </w:t>
      </w:r>
      <w:r w:rsidR="00520EEF" w:rsidRPr="00611942">
        <w:rPr>
          <w:rFonts w:cs="Arial"/>
          <w:i/>
          <w:sz w:val="20"/>
          <w:szCs w:val="20"/>
          <w:highlight w:val="yellow"/>
        </w:rPr>
        <w:t>SEGREGUE</w:t>
      </w:r>
      <w:r w:rsidRPr="00611942">
        <w:rPr>
          <w:rFonts w:cs="Arial"/>
          <w:i/>
          <w:sz w:val="20"/>
          <w:szCs w:val="20"/>
          <w:highlight w:val="yellow"/>
        </w:rPr>
        <w:t xml:space="preserve"> una porción y proceda a la venta de la finca segregada</w:t>
      </w:r>
      <w:r w:rsidR="00520EEF" w:rsidRPr="00611942">
        <w:rPr>
          <w:rFonts w:cs="Arial"/>
          <w:i/>
          <w:sz w:val="20"/>
          <w:szCs w:val="20"/>
          <w:highlight w:val="yellow"/>
        </w:rPr>
        <w:t>)</w:t>
      </w:r>
    </w:p>
    <w:p w:rsidR="00C03727" w:rsidRPr="00C03727" w:rsidRDefault="00C03727" w:rsidP="00C03727">
      <w:pPr>
        <w:rPr>
          <w:rFonts w:cs="Arial"/>
        </w:rPr>
      </w:pPr>
    </w:p>
    <w:p w:rsidR="00C03727" w:rsidRPr="00611942" w:rsidRDefault="00C03727" w:rsidP="00520EEF">
      <w:pPr>
        <w:ind w:left="454" w:hanging="454"/>
        <w:rPr>
          <w:rFonts w:cs="Arial"/>
          <w:i/>
          <w:sz w:val="20"/>
          <w:szCs w:val="20"/>
          <w:highlight w:val="yellow"/>
        </w:rPr>
      </w:pPr>
      <w:r w:rsidRPr="00B15CD5">
        <w:rPr>
          <w:rFonts w:cs="Arial"/>
          <w:b/>
          <w:color w:val="984806"/>
        </w:rPr>
        <w:t>57 RH</w:t>
      </w:r>
      <w:r w:rsidR="00520EEF">
        <w:rPr>
          <w:rFonts w:cs="Arial"/>
          <w:b/>
          <w:color w:val="984806"/>
        </w:rPr>
        <w:t xml:space="preserve"> </w:t>
      </w:r>
      <w:r w:rsidRPr="00611942">
        <w:rPr>
          <w:rFonts w:cs="Arial"/>
        </w:rPr>
        <w:t xml:space="preserve">Cuando mediante </w:t>
      </w:r>
      <w:r w:rsidRPr="00611942">
        <w:rPr>
          <w:rFonts w:cs="Arial"/>
          <w:i/>
        </w:rPr>
        <w:t>HIPOTECA se asegure el cumplimiento de las prohibiciones de disponer</w:t>
      </w:r>
      <w:r w:rsidRPr="00611942">
        <w:rPr>
          <w:rFonts w:cs="Arial"/>
        </w:rPr>
        <w:t xml:space="preserve"> a que se refiere el art. 27 LH</w:t>
      </w:r>
      <w:r w:rsidR="00611942">
        <w:rPr>
          <w:rFonts w:cs="Arial"/>
        </w:rPr>
        <w:t>, e</w:t>
      </w:r>
      <w:r w:rsidRPr="00C03727">
        <w:rPr>
          <w:rFonts w:cs="Arial"/>
        </w:rPr>
        <w:t>n un mismo asiento se hará constar</w:t>
      </w:r>
      <w:r w:rsidR="00520EEF">
        <w:rPr>
          <w:rFonts w:cs="Arial"/>
        </w:rPr>
        <w:t xml:space="preserve"> </w:t>
      </w:r>
      <w:r w:rsidRPr="00C03727">
        <w:rPr>
          <w:rFonts w:cs="Arial"/>
        </w:rPr>
        <w:t>el acto o contrato que contenga la prohibición de disponer</w:t>
      </w:r>
      <w:r w:rsidR="00520EEF">
        <w:rPr>
          <w:rFonts w:cs="Arial"/>
        </w:rPr>
        <w:t xml:space="preserve"> y </w:t>
      </w:r>
      <w:r w:rsidRPr="00C03727">
        <w:rPr>
          <w:rFonts w:cs="Arial"/>
        </w:rPr>
        <w:t>la hipoteca que se constituya</w:t>
      </w:r>
      <w:r w:rsidR="00520EEF">
        <w:rPr>
          <w:rFonts w:cs="Arial"/>
        </w:rPr>
        <w:t xml:space="preserve">, pero </w:t>
      </w:r>
      <w:r w:rsidRPr="00C03727">
        <w:rPr>
          <w:rFonts w:cs="Arial"/>
        </w:rPr>
        <w:t xml:space="preserve">en el acta de inscripción deberá constar expresamente que se </w:t>
      </w:r>
      <w:r w:rsidRPr="00C03727">
        <w:rPr>
          <w:rFonts w:cs="Arial"/>
          <w:i/>
        </w:rPr>
        <w:t>deniega</w:t>
      </w:r>
      <w:r w:rsidRPr="00C03727">
        <w:rPr>
          <w:rFonts w:cs="Arial"/>
        </w:rPr>
        <w:t xml:space="preserve"> la inscripción de la prohibición de disponer</w:t>
      </w:r>
      <w:r w:rsidR="00611942">
        <w:rPr>
          <w:rFonts w:cs="Arial"/>
        </w:rPr>
        <w:t xml:space="preserve"> </w:t>
      </w:r>
      <w:r w:rsidR="00611942" w:rsidRPr="00611942">
        <w:rPr>
          <w:rFonts w:cs="Arial"/>
          <w:i/>
          <w:sz w:val="20"/>
          <w:szCs w:val="20"/>
          <w:highlight w:val="yellow"/>
        </w:rPr>
        <w:t>(ENTIENDELO, por coherencia con el 27 LH -prohibiciones de disponer que emanan de una acto ó contrato a título oneroso y por tanto no inscribibles en sí, solo su garantía-)</w:t>
      </w:r>
      <w:r w:rsidRPr="00611942">
        <w:rPr>
          <w:rFonts w:cs="Arial"/>
          <w:i/>
          <w:sz w:val="20"/>
          <w:szCs w:val="20"/>
          <w:highlight w:val="yellow"/>
        </w:rPr>
        <w:t>.</w:t>
      </w:r>
    </w:p>
    <w:p w:rsidR="00B15CD5" w:rsidRPr="00C03727" w:rsidRDefault="00B15CD5" w:rsidP="00C03727">
      <w:pPr>
        <w:rPr>
          <w:rFonts w:ascii="Arial" w:hAnsi="Arial" w:cs="Arial"/>
        </w:rPr>
      </w:pPr>
    </w:p>
    <w:p w:rsidR="00611942" w:rsidRDefault="00C03727" w:rsidP="00C03727">
      <w:pPr>
        <w:ind w:left="454" w:hanging="454"/>
        <w:rPr>
          <w:rFonts w:cs="Arial"/>
        </w:rPr>
      </w:pPr>
      <w:r w:rsidRPr="00B15CD5">
        <w:rPr>
          <w:rFonts w:cs="Arial"/>
          <w:b/>
          <w:color w:val="984806"/>
        </w:rPr>
        <w:t>166.1</w:t>
      </w:r>
      <w:r w:rsidR="00855E24">
        <w:rPr>
          <w:rFonts w:cs="Arial"/>
          <w:b/>
          <w:color w:val="984806"/>
        </w:rPr>
        <w:t>, segundo párrafo</w:t>
      </w:r>
      <w:r w:rsidR="00611942">
        <w:rPr>
          <w:rFonts w:cs="Arial"/>
          <w:b/>
          <w:color w:val="984806"/>
        </w:rPr>
        <w:t xml:space="preserve"> </w:t>
      </w:r>
      <w:r w:rsidRPr="00B15CD5">
        <w:rPr>
          <w:rFonts w:cs="Arial"/>
          <w:b/>
          <w:color w:val="984806"/>
        </w:rPr>
        <w:t>RH</w:t>
      </w:r>
      <w:r w:rsidRPr="00C03727">
        <w:rPr>
          <w:rFonts w:cs="Arial"/>
        </w:rPr>
        <w:t xml:space="preserve"> Es decir, cuando se p</w:t>
      </w:r>
      <w:r w:rsidR="00611942">
        <w:rPr>
          <w:rFonts w:cs="Arial"/>
        </w:rPr>
        <w:t>ida</w:t>
      </w:r>
      <w:r w:rsidRPr="00C03727">
        <w:rPr>
          <w:rFonts w:cs="Arial"/>
        </w:rPr>
        <w:t xml:space="preserve"> en el RP </w:t>
      </w:r>
      <w:r w:rsidRPr="00611942">
        <w:rPr>
          <w:rFonts w:cs="Arial"/>
        </w:rPr>
        <w:t xml:space="preserve">AP </w:t>
      </w:r>
      <w:r w:rsidR="00611942" w:rsidRPr="00611942">
        <w:rPr>
          <w:rFonts w:cs="Arial"/>
        </w:rPr>
        <w:t>de</w:t>
      </w:r>
      <w:r w:rsidRPr="00611942">
        <w:rPr>
          <w:rFonts w:cs="Arial"/>
        </w:rPr>
        <w:t xml:space="preserve"> EMBARGO </w:t>
      </w:r>
      <w:r w:rsidR="00611942" w:rsidRPr="00611942">
        <w:rPr>
          <w:rFonts w:cs="Arial"/>
        </w:rPr>
        <w:t xml:space="preserve">contra el heredero/legatario del titular registral, </w:t>
      </w:r>
      <w:r w:rsidRPr="00611942">
        <w:rPr>
          <w:rFonts w:cs="Arial"/>
        </w:rPr>
        <w:t xml:space="preserve">POR DEUDAS PROPIAS </w:t>
      </w:r>
      <w:r w:rsidR="00C749CB">
        <w:rPr>
          <w:rFonts w:cs="Arial"/>
        </w:rPr>
        <w:t>de ese</w:t>
      </w:r>
      <w:r w:rsidRPr="00611942">
        <w:rPr>
          <w:rFonts w:cs="Arial"/>
        </w:rPr>
        <w:t xml:space="preserve"> HEREDERO</w:t>
      </w:r>
      <w:r w:rsidR="00611942" w:rsidRPr="00611942">
        <w:rPr>
          <w:rFonts w:cs="Arial"/>
        </w:rPr>
        <w:t>/</w:t>
      </w:r>
      <w:r w:rsidRPr="00611942">
        <w:rPr>
          <w:rFonts w:cs="Arial"/>
        </w:rPr>
        <w:t>LEGATARIO</w:t>
      </w:r>
      <w:r w:rsidR="00C749CB">
        <w:rPr>
          <w:rFonts w:cs="Arial"/>
        </w:rPr>
        <w:t xml:space="preserve"> (no del causante)</w:t>
      </w:r>
      <w:r w:rsidRPr="00611942">
        <w:rPr>
          <w:rFonts w:cs="Arial"/>
        </w:rPr>
        <w:t>.</w:t>
      </w:r>
      <w:r w:rsidRPr="00C03727">
        <w:rPr>
          <w:rFonts w:cs="Arial"/>
        </w:rPr>
        <w:t xml:space="preserve"> </w:t>
      </w:r>
    </w:p>
    <w:p w:rsidR="00611942" w:rsidRDefault="00611942" w:rsidP="00C03727">
      <w:pPr>
        <w:ind w:left="454" w:hanging="454"/>
        <w:rPr>
          <w:rFonts w:cs="Arial"/>
        </w:rPr>
      </w:pPr>
    </w:p>
    <w:p w:rsidR="00B41789" w:rsidRPr="000A0FA5" w:rsidRDefault="00611942" w:rsidP="00611942">
      <w:pPr>
        <w:ind w:left="1418"/>
        <w:rPr>
          <w:rFonts w:cs="Arial"/>
        </w:rPr>
      </w:pPr>
      <w:r w:rsidRPr="00611942">
        <w:rPr>
          <w:rFonts w:cs="Arial"/>
          <w:i/>
          <w:sz w:val="20"/>
          <w:szCs w:val="20"/>
          <w:highlight w:val="yellow"/>
        </w:rPr>
        <w:t>ENTIENDELO: C</w:t>
      </w:r>
      <w:r w:rsidR="00C03727" w:rsidRPr="00611942">
        <w:rPr>
          <w:rFonts w:cs="Arial"/>
          <w:i/>
          <w:sz w:val="20"/>
          <w:szCs w:val="20"/>
          <w:highlight w:val="yellow"/>
        </w:rPr>
        <w:t>omo la finca todavía está inscrita a nombre del causante</w:t>
      </w:r>
      <w:r w:rsidRPr="00611942">
        <w:rPr>
          <w:rFonts w:cs="Arial"/>
          <w:i/>
          <w:sz w:val="20"/>
          <w:szCs w:val="20"/>
          <w:highlight w:val="yellow"/>
        </w:rPr>
        <w:t xml:space="preserve">, </w:t>
      </w:r>
      <w:r w:rsidR="00C03727" w:rsidRPr="00611942">
        <w:rPr>
          <w:rFonts w:cs="Arial"/>
          <w:i/>
          <w:sz w:val="20"/>
          <w:szCs w:val="20"/>
          <w:highlight w:val="yellow"/>
        </w:rPr>
        <w:t>el Mandamiento de Embargo deberá contener las circunstancias del testamento</w:t>
      </w:r>
      <w:r w:rsidRPr="00611942">
        <w:rPr>
          <w:rFonts w:cs="Arial"/>
          <w:i/>
          <w:sz w:val="20"/>
          <w:szCs w:val="20"/>
          <w:highlight w:val="yellow"/>
        </w:rPr>
        <w:t>/</w:t>
      </w:r>
      <w:r w:rsidR="00C03727" w:rsidRPr="00611942">
        <w:rPr>
          <w:rFonts w:cs="Arial"/>
          <w:i/>
          <w:sz w:val="20"/>
          <w:szCs w:val="20"/>
          <w:highlight w:val="yellow"/>
        </w:rPr>
        <w:t xml:space="preserve">declaración de herederos </w:t>
      </w:r>
      <w:r w:rsidRPr="00611942">
        <w:rPr>
          <w:rFonts w:cs="Arial"/>
          <w:i/>
          <w:sz w:val="20"/>
          <w:szCs w:val="20"/>
          <w:highlight w:val="yellow"/>
        </w:rPr>
        <w:t>ab</w:t>
      </w:r>
      <w:r w:rsidR="00C03727" w:rsidRPr="00611942">
        <w:rPr>
          <w:rFonts w:cs="Arial"/>
          <w:i/>
          <w:sz w:val="20"/>
          <w:szCs w:val="20"/>
          <w:highlight w:val="yellow"/>
        </w:rPr>
        <w:t>intesta</w:t>
      </w:r>
      <w:r w:rsidRPr="00611942">
        <w:rPr>
          <w:rFonts w:cs="Arial"/>
          <w:i/>
          <w:sz w:val="20"/>
          <w:szCs w:val="20"/>
          <w:highlight w:val="yellow"/>
        </w:rPr>
        <w:t>t</w:t>
      </w:r>
      <w:r w:rsidR="00C03727" w:rsidRPr="00611942">
        <w:rPr>
          <w:rFonts w:cs="Arial"/>
          <w:i/>
          <w:sz w:val="20"/>
          <w:szCs w:val="20"/>
          <w:highlight w:val="yellow"/>
        </w:rPr>
        <w:t>o</w:t>
      </w:r>
      <w:r w:rsidRPr="00611942">
        <w:rPr>
          <w:rFonts w:cs="Arial"/>
          <w:i/>
          <w:sz w:val="20"/>
          <w:szCs w:val="20"/>
          <w:highlight w:val="yellow"/>
        </w:rPr>
        <w:t xml:space="preserve"> (</w:t>
      </w:r>
      <w:r w:rsidR="00C03727" w:rsidRPr="00611942">
        <w:rPr>
          <w:rFonts w:cs="Arial"/>
          <w:i/>
          <w:sz w:val="20"/>
          <w:szCs w:val="20"/>
          <w:highlight w:val="yellow"/>
        </w:rPr>
        <w:t>así como los Certificados de defunción y de Últimas Voluntades</w:t>
      </w:r>
      <w:r w:rsidRPr="00611942">
        <w:rPr>
          <w:rFonts w:cs="Arial"/>
          <w:i/>
          <w:sz w:val="20"/>
          <w:szCs w:val="20"/>
          <w:highlight w:val="yellow"/>
        </w:rPr>
        <w:t xml:space="preserve"> del causante) y</w:t>
      </w:r>
      <w:r>
        <w:rPr>
          <w:rFonts w:cs="Arial"/>
        </w:rPr>
        <w:t xml:space="preserve"> l</w:t>
      </w:r>
      <w:r w:rsidRPr="00611942">
        <w:rPr>
          <w:rFonts w:cs="Arial"/>
        </w:rPr>
        <w:t xml:space="preserve">a anotación se practicará sobre los inmuebles o derechos que especifique el mandamiento judicial </w:t>
      </w:r>
      <w:r w:rsidR="00C749CB">
        <w:rPr>
          <w:rFonts w:cs="Arial"/>
        </w:rPr>
        <w:t>“</w:t>
      </w:r>
      <w:r w:rsidRPr="00611942">
        <w:rPr>
          <w:rFonts w:cs="Arial"/>
          <w:b/>
        </w:rPr>
        <w:t xml:space="preserve">en la parte que corresponda </w:t>
      </w:r>
      <w:r w:rsidR="00C749CB">
        <w:rPr>
          <w:rFonts w:cs="Arial"/>
          <w:b/>
        </w:rPr>
        <w:t>a</w:t>
      </w:r>
      <w:r w:rsidRPr="00611942">
        <w:rPr>
          <w:rFonts w:cs="Arial"/>
          <w:b/>
        </w:rPr>
        <w:t>l derecho hereditario del deudor</w:t>
      </w:r>
      <w:r w:rsidR="00C749CB">
        <w:rPr>
          <w:rFonts w:cs="Arial"/>
          <w:b/>
        </w:rPr>
        <w:t>”</w:t>
      </w:r>
      <w:r>
        <w:rPr>
          <w:rFonts w:cs="Arial"/>
        </w:rPr>
        <w:t xml:space="preserve"> </w:t>
      </w:r>
      <w:r w:rsidRPr="00611942">
        <w:rPr>
          <w:rFonts w:cs="Arial"/>
          <w:i/>
          <w:sz w:val="20"/>
          <w:szCs w:val="20"/>
          <w:highlight w:val="yellow"/>
        </w:rPr>
        <w:t>(</w:t>
      </w:r>
      <w:r w:rsidR="00C749CB">
        <w:rPr>
          <w:rFonts w:cs="Arial"/>
          <w:i/>
          <w:sz w:val="20"/>
          <w:szCs w:val="20"/>
          <w:highlight w:val="yellow"/>
        </w:rPr>
        <w:t>s</w:t>
      </w:r>
      <w:r w:rsidR="00C749CB" w:rsidRPr="00C749CB">
        <w:rPr>
          <w:rFonts w:cs="Arial"/>
          <w:i/>
          <w:sz w:val="20"/>
          <w:szCs w:val="20"/>
          <w:highlight w:val="yellow"/>
        </w:rPr>
        <w:t>e produc</w:t>
      </w:r>
      <w:r w:rsidR="00C749CB">
        <w:rPr>
          <w:rFonts w:cs="Arial"/>
          <w:i/>
          <w:sz w:val="20"/>
          <w:szCs w:val="20"/>
          <w:highlight w:val="yellow"/>
        </w:rPr>
        <w:t>e</w:t>
      </w:r>
      <w:r w:rsidR="00C749CB" w:rsidRPr="00C749CB">
        <w:rPr>
          <w:rFonts w:cs="Arial"/>
          <w:i/>
          <w:sz w:val="20"/>
          <w:szCs w:val="20"/>
          <w:highlight w:val="yellow"/>
        </w:rPr>
        <w:t xml:space="preserve"> por tanto una anotación preventiva de embargo sin previa inscripción a favor de embargado</w:t>
      </w:r>
      <w:r w:rsidRPr="00611942">
        <w:rPr>
          <w:rFonts w:cs="Arial"/>
          <w:i/>
          <w:sz w:val="20"/>
          <w:szCs w:val="20"/>
          <w:highlight w:val="yellow"/>
        </w:rPr>
        <w:t>)</w:t>
      </w:r>
      <w:r w:rsidR="00B41789" w:rsidRPr="00611942">
        <w:rPr>
          <w:rFonts w:cs="Arial"/>
          <w:i/>
          <w:sz w:val="20"/>
          <w:szCs w:val="20"/>
          <w:highlight w:val="yellow"/>
        </w:rPr>
        <w:t>.</w:t>
      </w:r>
    </w:p>
    <w:p w:rsidR="00B41789" w:rsidRPr="00C03727" w:rsidRDefault="00B41789" w:rsidP="00C03727">
      <w:pPr>
        <w:rPr>
          <w:rFonts w:ascii="Arial" w:hAnsi="Arial" w:cs="Arial"/>
        </w:rPr>
      </w:pPr>
    </w:p>
    <w:p w:rsidR="00C03727" w:rsidRPr="00C03727" w:rsidRDefault="00C03727" w:rsidP="00C03727">
      <w:pPr>
        <w:rPr>
          <w:rFonts w:cs="Arial"/>
        </w:rPr>
      </w:pPr>
      <w:r w:rsidRPr="00C03727">
        <w:rPr>
          <w:rFonts w:cs="Arial"/>
        </w:rPr>
        <w:t xml:space="preserve">Y </w:t>
      </w:r>
      <w:r w:rsidR="00805287">
        <w:rPr>
          <w:rFonts w:cs="Arial"/>
        </w:rPr>
        <w:t xml:space="preserve">según la </w:t>
      </w:r>
      <w:r w:rsidRPr="00C03727">
        <w:rPr>
          <w:rFonts w:cs="Arial"/>
        </w:rPr>
        <w:t>DOCTRINA:</w:t>
      </w:r>
    </w:p>
    <w:p w:rsidR="00C03727" w:rsidRPr="00C03727" w:rsidRDefault="00C03727" w:rsidP="00C03727">
      <w:pPr>
        <w:rPr>
          <w:rFonts w:cs="Arial"/>
        </w:rPr>
      </w:pPr>
    </w:p>
    <w:p w:rsidR="00C03727" w:rsidRDefault="00805287" w:rsidP="00C03727">
      <w:pPr>
        <w:numPr>
          <w:ilvl w:val="0"/>
          <w:numId w:val="6"/>
        </w:numPr>
        <w:rPr>
          <w:rFonts w:cs="Arial"/>
        </w:rPr>
      </w:pPr>
      <w:r w:rsidRPr="00805287">
        <w:rPr>
          <w:rFonts w:cs="Arial"/>
        </w:rPr>
        <w:t>Cuando todos los herederos (y el cónyuge viudo en su caso</w:t>
      </w:r>
      <w:r>
        <w:rPr>
          <w:rFonts w:cs="Arial"/>
        </w:rPr>
        <w:t xml:space="preserve"> -sociedad de gananciales disuelta y pendiente de liquidación-</w:t>
      </w:r>
      <w:r w:rsidRPr="00805287">
        <w:rPr>
          <w:rFonts w:cs="Arial"/>
        </w:rPr>
        <w:t xml:space="preserve">) venden </w:t>
      </w:r>
      <w:r w:rsidRPr="00855E24">
        <w:rPr>
          <w:rFonts w:cs="Arial"/>
          <w:b/>
        </w:rPr>
        <w:t>conjuntamente</w:t>
      </w:r>
      <w:r w:rsidRPr="00805287">
        <w:rPr>
          <w:rFonts w:cs="Arial"/>
        </w:rPr>
        <w:t xml:space="preserve"> un bien hereditario antes de la partición, no hace falta previa inscripción a favor de tales herederos</w:t>
      </w:r>
      <w:r>
        <w:rPr>
          <w:rFonts w:cs="Arial"/>
        </w:rPr>
        <w:t xml:space="preserve"> (</w:t>
      </w:r>
      <w:r w:rsidR="00C03727" w:rsidRPr="00C03727">
        <w:rPr>
          <w:rFonts w:cs="Arial"/>
          <w:color w:val="FF0000"/>
        </w:rPr>
        <w:t>R</w:t>
      </w:r>
      <w:r>
        <w:rPr>
          <w:rFonts w:cs="Arial"/>
          <w:color w:val="FF0000"/>
        </w:rPr>
        <w:t>DGRN</w:t>
      </w:r>
      <w:r w:rsidR="00C03727" w:rsidRPr="00C03727">
        <w:rPr>
          <w:rFonts w:cs="Arial"/>
          <w:color w:val="FF0000"/>
        </w:rPr>
        <w:t xml:space="preserve"> 21 enero 1993</w:t>
      </w:r>
      <w:r>
        <w:rPr>
          <w:rFonts w:cs="Arial"/>
          <w:color w:val="FF0000"/>
        </w:rPr>
        <w:t>, argumentando ex 209.1 RH</w:t>
      </w:r>
      <w:r w:rsidR="00C03727" w:rsidRPr="00C03727">
        <w:rPr>
          <w:rFonts w:cs="Arial"/>
        </w:rPr>
        <w:t>).</w:t>
      </w:r>
    </w:p>
    <w:p w:rsidR="00826121" w:rsidRDefault="00826121" w:rsidP="00826121">
      <w:pPr>
        <w:rPr>
          <w:rFonts w:cs="Arial"/>
        </w:rPr>
      </w:pPr>
    </w:p>
    <w:p w:rsidR="00826121" w:rsidRPr="008A42D9" w:rsidRDefault="00826121" w:rsidP="00826121">
      <w:pPr>
        <w:ind w:left="2127"/>
        <w:rPr>
          <w:rFonts w:cs="Calibri"/>
        </w:rPr>
      </w:pPr>
      <w:r w:rsidRPr="008A42D9">
        <w:rPr>
          <w:rFonts w:cs="Calibri"/>
          <w:b/>
        </w:rPr>
        <w:t>209 RH</w:t>
      </w:r>
      <w:r w:rsidRPr="008A42D9">
        <w:rPr>
          <w:rFonts w:cs="Calibri"/>
        </w:rPr>
        <w:t xml:space="preserve"> </w:t>
      </w:r>
      <w:r w:rsidRPr="00855E24">
        <w:rPr>
          <w:rFonts w:cs="Calibri"/>
        </w:rPr>
        <w:t xml:space="preserve">No será precisa la </w:t>
      </w:r>
      <w:r w:rsidRPr="00826121">
        <w:rPr>
          <w:rFonts w:cs="Arial"/>
        </w:rPr>
        <w:t>previa</w:t>
      </w:r>
      <w:r w:rsidRPr="00855E24">
        <w:rPr>
          <w:rFonts w:cs="Calibri"/>
        </w:rPr>
        <w:t xml:space="preserve"> inscripción a favor de los “herederos”, para poder inscribir </w:t>
      </w:r>
      <w:r>
        <w:rPr>
          <w:rFonts w:cs="Calibri"/>
        </w:rPr>
        <w:t>los</w:t>
      </w:r>
      <w:r w:rsidRPr="00855E24">
        <w:rPr>
          <w:rFonts w:cs="Calibri"/>
        </w:rPr>
        <w:t xml:space="preserve"> ACTOS DIS</w:t>
      </w:r>
      <w:r w:rsidRPr="008A42D9">
        <w:rPr>
          <w:rFonts w:cs="Calibri"/>
        </w:rPr>
        <w:t xml:space="preserve">POSITIVOS </w:t>
      </w:r>
      <w:r>
        <w:rPr>
          <w:rFonts w:cs="Calibri"/>
        </w:rPr>
        <w:t>otorgados</w:t>
      </w:r>
      <w:r w:rsidRPr="008A42D9">
        <w:rPr>
          <w:rFonts w:cs="Calibri"/>
        </w:rPr>
        <w:t xml:space="preserve"> </w:t>
      </w:r>
      <w:r>
        <w:rPr>
          <w:rFonts w:cs="Calibri"/>
        </w:rPr>
        <w:t>“conjuntamente” por todos ellos antes de partir la herencia</w:t>
      </w:r>
      <w:r w:rsidRPr="008A42D9">
        <w:rPr>
          <w:rFonts w:cs="Calibri"/>
        </w:rPr>
        <w:t>.</w:t>
      </w:r>
    </w:p>
    <w:p w:rsidR="00C03727" w:rsidRPr="00C03727" w:rsidRDefault="00C03727" w:rsidP="00C03727">
      <w:pPr>
        <w:ind w:left="720"/>
        <w:rPr>
          <w:rFonts w:cs="Arial"/>
        </w:rPr>
      </w:pPr>
    </w:p>
    <w:p w:rsidR="00B15CD5" w:rsidRPr="00805287" w:rsidRDefault="00805287" w:rsidP="001F529B">
      <w:pPr>
        <w:numPr>
          <w:ilvl w:val="0"/>
          <w:numId w:val="6"/>
        </w:numPr>
        <w:rPr>
          <w:rFonts w:cs="Arial"/>
        </w:rPr>
      </w:pPr>
      <w:r w:rsidRPr="00805287">
        <w:rPr>
          <w:rFonts w:cs="Arial"/>
        </w:rPr>
        <w:t>C</w:t>
      </w:r>
      <w:r w:rsidR="00C03727" w:rsidRPr="00805287">
        <w:rPr>
          <w:rFonts w:cs="Arial"/>
        </w:rPr>
        <w:t>uando en una misma inscripción se hace constar:</w:t>
      </w:r>
      <w:r w:rsidRPr="00805287">
        <w:rPr>
          <w:rFonts w:cs="Arial"/>
        </w:rPr>
        <w:t xml:space="preserve"> V</w:t>
      </w:r>
      <w:r w:rsidR="00C03727" w:rsidRPr="00805287">
        <w:rPr>
          <w:rFonts w:cs="Arial"/>
        </w:rPr>
        <w:t>enta con precio aplazado y la condición resolutoria explícita que lo garantiza</w:t>
      </w:r>
      <w:r w:rsidRPr="00805287">
        <w:rPr>
          <w:rFonts w:cs="Arial"/>
        </w:rPr>
        <w:t xml:space="preserve"> /</w:t>
      </w:r>
      <w:r w:rsidR="00C03727" w:rsidRPr="00805287">
        <w:rPr>
          <w:rFonts w:cs="Arial"/>
        </w:rPr>
        <w:t xml:space="preserve"> </w:t>
      </w:r>
      <w:r>
        <w:rPr>
          <w:rFonts w:cs="Arial"/>
        </w:rPr>
        <w:t>O</w:t>
      </w:r>
      <w:r w:rsidR="00C03727" w:rsidRPr="00805287">
        <w:rPr>
          <w:rFonts w:cs="Arial"/>
        </w:rPr>
        <w:t xml:space="preserve">bra nueva y </w:t>
      </w:r>
      <w:r>
        <w:rPr>
          <w:rFonts w:cs="Arial"/>
        </w:rPr>
        <w:t>D</w:t>
      </w:r>
      <w:r w:rsidR="00C03727" w:rsidRPr="00805287">
        <w:rPr>
          <w:rFonts w:cs="Arial"/>
        </w:rPr>
        <w:t>ivisión horizontal</w:t>
      </w:r>
    </w:p>
    <w:p w:rsidR="00805287" w:rsidRPr="000A0FA5" w:rsidRDefault="00805287" w:rsidP="00805287">
      <w:pPr>
        <w:ind w:left="1208"/>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55270A" w:rsidRPr="008A42D9">
        <w:tc>
          <w:tcPr>
            <w:tcW w:w="9494" w:type="dxa"/>
          </w:tcPr>
          <w:p w:rsidR="0055270A" w:rsidRPr="008A42D9" w:rsidRDefault="0055270A" w:rsidP="00935E74">
            <w:pPr>
              <w:jc w:val="center"/>
              <w:rPr>
                <w:rFonts w:cs="Calibri"/>
                <w:b/>
              </w:rPr>
            </w:pPr>
            <w:r w:rsidRPr="008A42D9">
              <w:rPr>
                <w:rFonts w:cs="Calibri"/>
                <w:b/>
              </w:rPr>
              <w:t>EXCEPCIONES AL PRINCIPIO</w:t>
            </w:r>
          </w:p>
        </w:tc>
      </w:tr>
    </w:tbl>
    <w:p w:rsidR="00413DD0" w:rsidRDefault="00413DD0" w:rsidP="000A0FA5">
      <w:pPr>
        <w:ind w:left="708"/>
        <w:rPr>
          <w:rFonts w:cs="Calibri"/>
          <w:b/>
          <w:bCs/>
          <w:color w:val="1F497D"/>
        </w:rPr>
      </w:pPr>
    </w:p>
    <w:p w:rsidR="00413DD0" w:rsidRDefault="00413DD0" w:rsidP="000A0FA5">
      <w:pPr>
        <w:ind w:left="708"/>
        <w:rPr>
          <w:rFonts w:cs="Calibri"/>
          <w:b/>
          <w:bCs/>
          <w:color w:val="1F497D"/>
        </w:rPr>
      </w:pPr>
    </w:p>
    <w:p w:rsidR="0055270A" w:rsidRPr="008A42D9" w:rsidRDefault="00413DD0" w:rsidP="00413DD0">
      <w:pPr>
        <w:rPr>
          <w:rFonts w:cs="Calibri"/>
        </w:rPr>
      </w:pPr>
      <w:r>
        <w:rPr>
          <w:rFonts w:cs="Calibri"/>
          <w:b/>
          <w:bCs/>
          <w:color w:val="1F497D"/>
        </w:rPr>
        <w:t xml:space="preserve">Se distingue entre </w:t>
      </w:r>
      <w:r w:rsidR="0055270A" w:rsidRPr="000A0FA5">
        <w:rPr>
          <w:rFonts w:cs="Calibri"/>
          <w:u w:val="single"/>
        </w:rPr>
        <w:t>modalidades del tracto</w:t>
      </w:r>
      <w:r w:rsidR="000A0FA5">
        <w:rPr>
          <w:rFonts w:cs="Calibri"/>
        </w:rPr>
        <w:t xml:space="preserve"> </w:t>
      </w:r>
      <w:r w:rsidR="000A0FA5" w:rsidRPr="000A0FA5">
        <w:rPr>
          <w:rFonts w:cs="Calibri"/>
          <w:i/>
          <w:iCs/>
        </w:rPr>
        <w:t>que tienden a evitar titularidades transitorias</w:t>
      </w:r>
      <w:r w:rsidR="000A0FA5">
        <w:rPr>
          <w:rFonts w:cs="Calibri"/>
        </w:rPr>
        <w:t xml:space="preserve">; y </w:t>
      </w:r>
      <w:r w:rsidR="000A0FA5" w:rsidRPr="000A0FA5">
        <w:rPr>
          <w:rFonts w:cs="Calibri"/>
          <w:u w:val="single"/>
        </w:rPr>
        <w:t>verdaderas excepciones</w:t>
      </w:r>
      <w:r w:rsidR="000A0FA5">
        <w:rPr>
          <w:rFonts w:cs="Calibri"/>
        </w:rPr>
        <w:t xml:space="preserve"> al p. de tracto sucesivo</w:t>
      </w:r>
      <w:r w:rsidR="0055270A" w:rsidRPr="008A42D9">
        <w:rPr>
          <w:rFonts w:cs="Calibri"/>
        </w:rPr>
        <w:t>.</w:t>
      </w:r>
    </w:p>
    <w:p w:rsidR="000A0FA5" w:rsidRPr="008A42D9" w:rsidRDefault="000A0FA5" w:rsidP="00AF424E">
      <w:pPr>
        <w:jc w:val="center"/>
        <w:rPr>
          <w:rFonts w:cs="Calibri"/>
        </w:rPr>
      </w:pPr>
    </w:p>
    <w:p w:rsidR="0055270A" w:rsidRDefault="00AF424E" w:rsidP="00AF424E">
      <w:pPr>
        <w:jc w:val="center"/>
        <w:rPr>
          <w:rFonts w:cs="Calibri"/>
          <w:b/>
          <w:color w:val="1F497D"/>
        </w:rPr>
      </w:pPr>
      <w:r w:rsidRPr="000A0FA5">
        <w:rPr>
          <w:rFonts w:cs="Calibri"/>
          <w:b/>
          <w:color w:val="1F497D"/>
        </w:rPr>
        <w:t>MODALIDADES</w:t>
      </w:r>
      <w:r w:rsidR="00131812" w:rsidRPr="00131812">
        <w:rPr>
          <w:rFonts w:cs="Calibri"/>
          <w:color w:val="1F497D"/>
          <w:sz w:val="18"/>
          <w:szCs w:val="18"/>
        </w:rPr>
        <w:t xml:space="preserve"> (ejemplos)</w:t>
      </w:r>
    </w:p>
    <w:p w:rsidR="00AF424E" w:rsidRPr="008A42D9" w:rsidRDefault="00AF424E" w:rsidP="0055270A">
      <w:pPr>
        <w:rPr>
          <w:rFonts w:cs="Calibri"/>
        </w:rPr>
      </w:pPr>
    </w:p>
    <w:p w:rsidR="0055270A" w:rsidRPr="008A42D9" w:rsidRDefault="0055270A" w:rsidP="00D44FE8">
      <w:pPr>
        <w:ind w:left="397" w:hanging="397"/>
        <w:rPr>
          <w:rFonts w:cs="Calibri"/>
        </w:rPr>
      </w:pPr>
      <w:r w:rsidRPr="008A42D9">
        <w:rPr>
          <w:rFonts w:cs="Calibri"/>
          <w:b/>
        </w:rPr>
        <w:t>20</w:t>
      </w:r>
      <w:r w:rsidR="00AF424E">
        <w:rPr>
          <w:rFonts w:cs="Calibri"/>
          <w:b/>
        </w:rPr>
        <w:t xml:space="preserve">.4 </w:t>
      </w:r>
      <w:r w:rsidR="00131812">
        <w:rPr>
          <w:rFonts w:cs="Calibri"/>
        </w:rPr>
        <w:t xml:space="preserve">/ </w:t>
      </w:r>
      <w:r w:rsidR="00AF424E" w:rsidRPr="00AF424E">
        <w:rPr>
          <w:rFonts w:cs="Calibri"/>
          <w:b/>
        </w:rPr>
        <w:t>20.</w:t>
      </w:r>
      <w:r w:rsidRPr="00AF424E">
        <w:rPr>
          <w:rFonts w:cs="Calibri"/>
          <w:b/>
        </w:rPr>
        <w:t>5</w:t>
      </w:r>
      <w:r w:rsidR="00AF424E" w:rsidRPr="00AF424E">
        <w:rPr>
          <w:rFonts w:cs="Calibri"/>
          <w:b/>
        </w:rPr>
        <w:t>.1</w:t>
      </w:r>
      <w:r w:rsidR="00AF424E">
        <w:rPr>
          <w:rFonts w:cs="Arial"/>
          <w:b/>
        </w:rPr>
        <w:t>ª</w:t>
      </w:r>
      <w:r w:rsidR="00AF424E">
        <w:rPr>
          <w:rFonts w:cs="Calibri"/>
          <w:b/>
        </w:rPr>
        <w:t xml:space="preserve"> </w:t>
      </w:r>
      <w:r w:rsidR="00131812" w:rsidRPr="00131812">
        <w:rPr>
          <w:rFonts w:cs="Calibri"/>
        </w:rPr>
        <w:t xml:space="preserve">y </w:t>
      </w:r>
      <w:r w:rsidR="00AF424E" w:rsidRPr="00AF424E">
        <w:rPr>
          <w:rFonts w:cs="Calibri"/>
          <w:b/>
        </w:rPr>
        <w:t>20.5.3</w:t>
      </w:r>
      <w:r w:rsidR="00AF424E">
        <w:rPr>
          <w:rFonts w:cs="Arial"/>
          <w:b/>
        </w:rPr>
        <w:t>ª</w:t>
      </w:r>
      <w:r w:rsidRPr="008A42D9">
        <w:rPr>
          <w:rFonts w:cs="Calibri"/>
          <w:b/>
          <w:i/>
          <w:color w:val="7F7F7F"/>
        </w:rPr>
        <w:t xml:space="preserve"> </w:t>
      </w:r>
      <w:r w:rsidRPr="008A42D9">
        <w:rPr>
          <w:rFonts w:cs="Calibri"/>
        </w:rPr>
        <w:t xml:space="preserve"> </w:t>
      </w:r>
    </w:p>
    <w:p w:rsidR="00D44FE8" w:rsidRPr="008A42D9" w:rsidRDefault="00D44FE8" w:rsidP="0055270A">
      <w:pPr>
        <w:rPr>
          <w:rFonts w:cs="Calibri"/>
        </w:rPr>
      </w:pPr>
    </w:p>
    <w:p w:rsidR="00D44FE8" w:rsidRDefault="0055270A" w:rsidP="00D44FE8">
      <w:pPr>
        <w:ind w:left="397" w:hanging="397"/>
        <w:rPr>
          <w:rFonts w:cs="Calibri"/>
        </w:rPr>
      </w:pPr>
      <w:r w:rsidRPr="008A42D9">
        <w:rPr>
          <w:rFonts w:cs="Calibri"/>
          <w:b/>
        </w:rPr>
        <w:t xml:space="preserve">166.1 </w:t>
      </w:r>
      <w:r w:rsidR="00855E24">
        <w:rPr>
          <w:rFonts w:cs="Calibri"/>
          <w:b/>
        </w:rPr>
        <w:t>primer párrafo</w:t>
      </w:r>
      <w:r w:rsidRPr="008A42D9">
        <w:rPr>
          <w:rFonts w:cs="Calibri"/>
          <w:b/>
        </w:rPr>
        <w:t xml:space="preserve"> RH</w:t>
      </w:r>
      <w:r w:rsidRPr="008A42D9">
        <w:rPr>
          <w:rFonts w:cs="Calibri"/>
        </w:rPr>
        <w:t xml:space="preserve"> </w:t>
      </w:r>
      <w:r w:rsidR="00855E24" w:rsidRPr="00855E24">
        <w:rPr>
          <w:rFonts w:cs="Calibri"/>
        </w:rPr>
        <w:t>No</w:t>
      </w:r>
      <w:r w:rsidRPr="00855E24">
        <w:rPr>
          <w:rFonts w:cs="Calibri"/>
        </w:rPr>
        <w:t xml:space="preserve"> se exigirá la previa inscripción a favor de los “herederos</w:t>
      </w:r>
      <w:r w:rsidR="00855E24">
        <w:rPr>
          <w:rFonts w:cs="Calibri"/>
        </w:rPr>
        <w:t>” de un causante</w:t>
      </w:r>
      <w:r w:rsidRPr="008A42D9">
        <w:rPr>
          <w:rFonts w:cs="Calibri"/>
        </w:rPr>
        <w:t xml:space="preserve"> para practicar una ANOTACION PREVENTIVA DE EMBARGO POR DEUDAS DE </w:t>
      </w:r>
      <w:r w:rsidR="00855E24">
        <w:rPr>
          <w:rFonts w:cs="Calibri"/>
        </w:rPr>
        <w:t xml:space="preserve">dicho causante fallecido </w:t>
      </w:r>
      <w:r w:rsidR="00855E24" w:rsidRPr="00855E24">
        <w:rPr>
          <w:rFonts w:cs="Arial"/>
          <w:i/>
          <w:sz w:val="20"/>
          <w:szCs w:val="20"/>
          <w:highlight w:val="yellow"/>
        </w:rPr>
        <w:t xml:space="preserve">(ENTIENDELO siendo dichos </w:t>
      </w:r>
      <w:r w:rsidR="00855E24" w:rsidRPr="00855E24">
        <w:rPr>
          <w:rFonts w:cs="Arial"/>
          <w:b/>
          <w:i/>
          <w:sz w:val="20"/>
          <w:szCs w:val="20"/>
          <w:highlight w:val="yellow"/>
        </w:rPr>
        <w:t>herederos indeterminados</w:t>
      </w:r>
      <w:r w:rsidR="00855E24" w:rsidRPr="00855E24">
        <w:rPr>
          <w:rFonts w:cs="Arial"/>
          <w:i/>
          <w:sz w:val="20"/>
          <w:szCs w:val="20"/>
          <w:highlight w:val="yellow"/>
        </w:rPr>
        <w:t>, t</w:t>
      </w:r>
      <w:r w:rsidRPr="00855E24">
        <w:rPr>
          <w:rFonts w:cs="Arial"/>
          <w:i/>
          <w:sz w:val="20"/>
          <w:szCs w:val="20"/>
          <w:highlight w:val="yellow"/>
        </w:rPr>
        <w:t>an sólo se exige que conste la fecha de fallecimiento del causante-deudor</w:t>
      </w:r>
      <w:r w:rsidR="00855E24" w:rsidRPr="00855E24">
        <w:rPr>
          <w:rFonts w:cs="Arial"/>
          <w:i/>
          <w:sz w:val="20"/>
          <w:szCs w:val="20"/>
          <w:highlight w:val="yellow"/>
        </w:rPr>
        <w:t xml:space="preserve">; y si fueren ciertos y </w:t>
      </w:r>
      <w:r w:rsidR="00855E24" w:rsidRPr="00855E24">
        <w:rPr>
          <w:rFonts w:cs="Arial"/>
          <w:b/>
          <w:i/>
          <w:sz w:val="20"/>
          <w:szCs w:val="20"/>
          <w:highlight w:val="yellow"/>
        </w:rPr>
        <w:t>determinados</w:t>
      </w:r>
      <w:r w:rsidR="00855E24" w:rsidRPr="00855E24">
        <w:rPr>
          <w:rFonts w:cs="Arial"/>
          <w:i/>
          <w:sz w:val="20"/>
          <w:szCs w:val="20"/>
          <w:highlight w:val="yellow"/>
        </w:rPr>
        <w:t>, se expresarán además sus circunstancias personales</w:t>
      </w:r>
      <w:r w:rsidR="00855E24">
        <w:rPr>
          <w:rFonts w:cs="Arial"/>
          <w:i/>
          <w:sz w:val="20"/>
          <w:szCs w:val="20"/>
        </w:rPr>
        <w:t>)</w:t>
      </w:r>
      <w:r w:rsidRPr="00855E24">
        <w:rPr>
          <w:rFonts w:cs="Calibri"/>
          <w:i/>
        </w:rPr>
        <w:t>.</w:t>
      </w:r>
    </w:p>
    <w:p w:rsidR="00855E24" w:rsidRDefault="00855E24" w:rsidP="00D44FE8">
      <w:pPr>
        <w:ind w:left="397" w:hanging="397"/>
        <w:rPr>
          <w:rFonts w:cs="Calibri"/>
          <w:b/>
        </w:rPr>
      </w:pPr>
    </w:p>
    <w:p w:rsidR="00D44FE8" w:rsidRPr="008A42D9" w:rsidRDefault="00D44FE8">
      <w:pPr>
        <w:rPr>
          <w:rFonts w:cs="Calibri"/>
        </w:rPr>
      </w:pPr>
    </w:p>
    <w:p w:rsidR="00855E24" w:rsidRPr="00855E24" w:rsidRDefault="00855E24" w:rsidP="00855E24">
      <w:pPr>
        <w:jc w:val="center"/>
        <w:rPr>
          <w:rFonts w:cs="Calibri"/>
          <w:color w:val="1F497D"/>
        </w:rPr>
      </w:pPr>
      <w:r w:rsidRPr="00855E24">
        <w:rPr>
          <w:rFonts w:cs="Calibri"/>
          <w:color w:val="1F497D"/>
        </w:rPr>
        <w:t>VERDADERAS EXCEPCIONES</w:t>
      </w:r>
    </w:p>
    <w:p w:rsidR="00855E24" w:rsidRDefault="00855E24" w:rsidP="003C1366">
      <w:pPr>
        <w:rPr>
          <w:rFonts w:cs="Calibri"/>
          <w:b/>
          <w:color w:val="1F497D"/>
        </w:rPr>
      </w:pPr>
    </w:p>
    <w:p w:rsidR="005F1EDB" w:rsidRPr="008A42D9" w:rsidRDefault="005F1EDB" w:rsidP="003C1366">
      <w:pPr>
        <w:rPr>
          <w:rFonts w:cs="Calibri"/>
        </w:rPr>
      </w:pPr>
      <w:r w:rsidRPr="008A42D9">
        <w:rPr>
          <w:rFonts w:cs="Calibri"/>
        </w:rPr>
        <w:t xml:space="preserve"> La mayor parte de la doctrina considera </w:t>
      </w:r>
      <w:r w:rsidRPr="008A42D9">
        <w:rPr>
          <w:rFonts w:cs="Calibri"/>
          <w:i/>
        </w:rPr>
        <w:t>que NO existen verdaderas excepciones al principio de tracto sucesivo</w:t>
      </w:r>
      <w:r w:rsidR="00826121">
        <w:rPr>
          <w:rFonts w:cs="Calibri"/>
          <w:i/>
        </w:rPr>
        <w:t xml:space="preserve"> </w:t>
      </w:r>
      <w:r w:rsidR="00826121" w:rsidRPr="00826121">
        <w:rPr>
          <w:rFonts w:cs="Calibri"/>
        </w:rPr>
        <w:t>(como señala</w:t>
      </w:r>
      <w:r w:rsidRPr="00826121">
        <w:rPr>
          <w:rFonts w:cs="Calibri"/>
        </w:rPr>
        <w:t xml:space="preserve"> </w:t>
      </w:r>
      <w:r w:rsidR="00826121" w:rsidRPr="00826121">
        <w:rPr>
          <w:rFonts w:cs="Calibri"/>
        </w:rPr>
        <w:t>LACRUZ,</w:t>
      </w:r>
      <w:r w:rsidRPr="00826121">
        <w:rPr>
          <w:rFonts w:cs="Calibri"/>
        </w:rPr>
        <w:t xml:space="preserve"> puede haber son excepciones al tracto formal</w:t>
      </w:r>
      <w:r w:rsidR="00826121" w:rsidRPr="00826121">
        <w:rPr>
          <w:rFonts w:cs="Calibri"/>
        </w:rPr>
        <w:t xml:space="preserve"> -</w:t>
      </w:r>
      <w:r w:rsidRPr="00826121">
        <w:rPr>
          <w:rFonts w:cs="Calibri"/>
        </w:rPr>
        <w:t>a la exigencia de un asiento precedente</w:t>
      </w:r>
      <w:r w:rsidR="00826121" w:rsidRPr="00826121">
        <w:rPr>
          <w:rFonts w:cs="Calibri"/>
        </w:rPr>
        <w:t>-</w:t>
      </w:r>
      <w:r w:rsidRPr="00826121">
        <w:rPr>
          <w:rFonts w:cs="Calibri"/>
        </w:rPr>
        <w:t xml:space="preserve"> </w:t>
      </w:r>
      <w:r w:rsidRPr="00826121">
        <w:rPr>
          <w:rFonts w:cs="Calibri"/>
          <w:iCs/>
        </w:rPr>
        <w:t>pero no al encadenamiento de titulares</w:t>
      </w:r>
      <w:r w:rsidR="00826121" w:rsidRPr="00826121">
        <w:rPr>
          <w:rFonts w:cs="Calibri"/>
          <w:iCs/>
        </w:rPr>
        <w:t>)</w:t>
      </w:r>
      <w:r w:rsidRPr="008A42D9">
        <w:rPr>
          <w:rFonts w:cs="Calibri"/>
        </w:rPr>
        <w:t xml:space="preserve">. </w:t>
      </w:r>
      <w:r w:rsidR="00826121">
        <w:rPr>
          <w:rFonts w:cs="Calibri"/>
        </w:rPr>
        <w:t>S</w:t>
      </w:r>
      <w:r w:rsidRPr="008A42D9">
        <w:rPr>
          <w:rFonts w:cs="Calibri"/>
        </w:rPr>
        <w:t xml:space="preserve">uelen citarse: </w:t>
      </w:r>
    </w:p>
    <w:p w:rsidR="005F1EDB" w:rsidRPr="008A42D9" w:rsidRDefault="005F1EDB" w:rsidP="005F1EDB">
      <w:pPr>
        <w:rPr>
          <w:rFonts w:cs="Calibri"/>
        </w:rPr>
      </w:pPr>
    </w:p>
    <w:p w:rsidR="005F1EDB" w:rsidRPr="00826121" w:rsidRDefault="00826121" w:rsidP="005F1EDB">
      <w:pPr>
        <w:ind w:left="738" w:hanging="454"/>
        <w:rPr>
          <w:rFonts w:cs="Calibri"/>
        </w:rPr>
      </w:pPr>
      <w:r w:rsidRPr="00826121">
        <w:rPr>
          <w:rFonts w:cs="Calibri"/>
        </w:rPr>
        <w:t>L</w:t>
      </w:r>
      <w:r w:rsidR="005F1EDB" w:rsidRPr="00826121">
        <w:rPr>
          <w:rFonts w:cs="Calibri"/>
        </w:rPr>
        <w:t>a inmatriculación de fincas</w:t>
      </w:r>
      <w:r w:rsidRPr="00826121">
        <w:rPr>
          <w:rFonts w:cs="Calibri"/>
        </w:rPr>
        <w:t xml:space="preserve"> y la </w:t>
      </w:r>
      <w:r w:rsidR="005F1EDB" w:rsidRPr="00826121">
        <w:rPr>
          <w:rFonts w:cs="Calibri"/>
        </w:rPr>
        <w:t>reanudación del tracto interrumpido.</w:t>
      </w:r>
    </w:p>
    <w:p w:rsidR="005F1EDB" w:rsidRPr="00826121" w:rsidRDefault="005F1EDB" w:rsidP="005F1EDB">
      <w:pPr>
        <w:ind w:left="738" w:hanging="454"/>
        <w:rPr>
          <w:rFonts w:cs="Calibri"/>
        </w:rPr>
      </w:pPr>
    </w:p>
    <w:p w:rsidR="005F1EDB" w:rsidRPr="00826121" w:rsidRDefault="005F1EDB" w:rsidP="005F1EDB">
      <w:pPr>
        <w:ind w:left="738" w:hanging="454"/>
        <w:rPr>
          <w:rFonts w:cs="Calibri"/>
        </w:rPr>
      </w:pPr>
      <w:r w:rsidRPr="00826121">
        <w:rPr>
          <w:rFonts w:cs="Calibri"/>
        </w:rPr>
        <w:t xml:space="preserve">Durante el período de reconstrucción de Registros destruidos, ya </w:t>
      </w:r>
      <w:r w:rsidR="00826121">
        <w:rPr>
          <w:rFonts w:cs="Calibri"/>
        </w:rPr>
        <w:t xml:space="preserve">que </w:t>
      </w:r>
      <w:r w:rsidRPr="00826121">
        <w:rPr>
          <w:rFonts w:cs="Calibri"/>
        </w:rPr>
        <w:t>queda en suspenso el art 20 LH</w:t>
      </w:r>
    </w:p>
    <w:p w:rsidR="005F1EDB" w:rsidRPr="00826121" w:rsidRDefault="005F1EDB" w:rsidP="005F1EDB">
      <w:pPr>
        <w:ind w:left="738" w:hanging="454"/>
        <w:rPr>
          <w:rFonts w:cs="Calibri"/>
        </w:rPr>
      </w:pPr>
    </w:p>
    <w:p w:rsidR="005F1EDB" w:rsidRPr="008A42D9" w:rsidRDefault="005F1EDB" w:rsidP="004A0A0B">
      <w:pPr>
        <w:ind w:left="738" w:hanging="454"/>
        <w:rPr>
          <w:rFonts w:cs="Calibri"/>
        </w:rPr>
      </w:pPr>
      <w:r w:rsidRPr="008A42D9">
        <w:rPr>
          <w:rFonts w:cs="Calibri"/>
          <w:u w:val="single"/>
        </w:rPr>
        <w:t>En la inscripción de las “fincas de reemplazo” de una concentración parcelaria</w:t>
      </w:r>
      <w:r w:rsidRPr="008A42D9">
        <w:rPr>
          <w:rFonts w:cs="Calibri"/>
        </w:rPr>
        <w:t xml:space="preserve"> </w:t>
      </w:r>
      <w:r w:rsidR="00826121">
        <w:rPr>
          <w:rFonts w:cs="Calibri"/>
        </w:rPr>
        <w:t>(</w:t>
      </w:r>
      <w:r w:rsidRPr="008A42D9">
        <w:rPr>
          <w:rFonts w:cs="Calibri"/>
        </w:rPr>
        <w:t>art 235 LRYDA</w:t>
      </w:r>
      <w:r w:rsidR="00826121">
        <w:rPr>
          <w:rFonts w:cs="Calibri"/>
        </w:rPr>
        <w:t>:</w:t>
      </w:r>
      <w:r w:rsidRPr="008A42D9">
        <w:rPr>
          <w:rFonts w:cs="Calibri"/>
        </w:rPr>
        <w:t xml:space="preserve"> las fincas de reemplazo se inscribirán sin hacerse referencia a las parcelas de procedencia (salvo en los casos determinados en la propia Ley), aún cuando éstas parcelas de procedencia aparezcan inscritas a nombre de personas distintas de aquellas personas con quienes, a título de dueño, se entendió el procedimiento de concentración</w:t>
      </w:r>
      <w:r w:rsidR="00826121">
        <w:rPr>
          <w:rFonts w:cs="Calibri"/>
        </w:rPr>
        <w:t>)</w:t>
      </w:r>
      <w:r w:rsidRPr="008A42D9">
        <w:rPr>
          <w:rFonts w:cs="Calibri"/>
        </w:rPr>
        <w:t>.</w:t>
      </w:r>
    </w:p>
    <w:p w:rsidR="005F1EDB" w:rsidRPr="008A42D9" w:rsidRDefault="005F1EDB" w:rsidP="005F1EDB">
      <w:pPr>
        <w:ind w:left="738" w:hanging="454"/>
        <w:rPr>
          <w:rFonts w:cs="Calibri"/>
        </w:rPr>
      </w:pPr>
    </w:p>
    <w:p w:rsidR="005F1EDB" w:rsidRPr="008A42D9" w:rsidRDefault="005F1EDB" w:rsidP="005F1EDB">
      <w:pPr>
        <w:ind w:left="738" w:hanging="454"/>
        <w:rPr>
          <w:rFonts w:cs="Calibri"/>
        </w:rPr>
      </w:pPr>
      <w:r w:rsidRPr="008A42D9">
        <w:rPr>
          <w:rFonts w:cs="Calibri"/>
          <w:u w:val="single"/>
        </w:rPr>
        <w:t>Reparcelación y Compensación Urbanísticas</w:t>
      </w:r>
      <w:r w:rsidRPr="008A42D9">
        <w:rPr>
          <w:rFonts w:cs="Calibri"/>
        </w:rPr>
        <w:t>, en los términos previstos en las leyes urbanísticas autonómicas.</w:t>
      </w:r>
    </w:p>
    <w:p w:rsidR="005F1EDB" w:rsidRPr="008A42D9" w:rsidRDefault="005F1EDB" w:rsidP="005F1EDB">
      <w:pPr>
        <w:ind w:left="738" w:hanging="454"/>
        <w:rPr>
          <w:rFonts w:cs="Calibri"/>
        </w:rPr>
      </w:pPr>
    </w:p>
    <w:p w:rsidR="005F1EDB" w:rsidRPr="008A42D9" w:rsidRDefault="00826121" w:rsidP="004A0A0B">
      <w:pPr>
        <w:ind w:left="738" w:hanging="454"/>
        <w:rPr>
          <w:rFonts w:cs="Calibri"/>
        </w:rPr>
      </w:pPr>
      <w:r>
        <w:rPr>
          <w:rFonts w:cs="Calibri"/>
          <w:u w:val="single"/>
        </w:rPr>
        <w:t>U</w:t>
      </w:r>
      <w:r w:rsidR="005F1EDB" w:rsidRPr="008A42D9">
        <w:rPr>
          <w:rFonts w:cs="Calibri"/>
          <w:u w:val="single"/>
        </w:rPr>
        <w:t>sucapión contra tabulas</w:t>
      </w:r>
      <w:r w:rsidR="005F1EDB" w:rsidRPr="008A42D9">
        <w:rPr>
          <w:rFonts w:cs="Calibri"/>
        </w:rPr>
        <w:t xml:space="preserve">, pues no hay </w:t>
      </w:r>
      <w:r w:rsidR="004A0A0B">
        <w:rPr>
          <w:rFonts w:cs="Calibri"/>
        </w:rPr>
        <w:t xml:space="preserve">enlace entre el usucapiente y </w:t>
      </w:r>
      <w:r w:rsidR="005F1EDB" w:rsidRPr="008A42D9">
        <w:rPr>
          <w:rFonts w:cs="Calibri"/>
        </w:rPr>
        <w:t>el titular registral y el usucapiente (art 36 LH).</w:t>
      </w:r>
    </w:p>
    <w:p w:rsidR="005F1EDB" w:rsidRPr="008A42D9" w:rsidRDefault="005F1EDB" w:rsidP="005F1EDB">
      <w:pPr>
        <w:ind w:left="738" w:hanging="454"/>
        <w:rPr>
          <w:rFonts w:cs="Calibri"/>
        </w:rPr>
      </w:pPr>
    </w:p>
    <w:p w:rsidR="00826121" w:rsidRDefault="00826121" w:rsidP="005F1EDB">
      <w:pPr>
        <w:ind w:left="738" w:hanging="454"/>
        <w:rPr>
          <w:rFonts w:cs="Calibri"/>
        </w:rPr>
      </w:pPr>
      <w:r>
        <w:rPr>
          <w:rFonts w:cs="Calibri"/>
          <w:b/>
          <w:u w:val="single"/>
        </w:rPr>
        <w:t>Supuesto del ú</w:t>
      </w:r>
      <w:r w:rsidR="005F1EDB" w:rsidRPr="008A42D9">
        <w:rPr>
          <w:rFonts w:cs="Calibri"/>
          <w:b/>
          <w:u w:val="single"/>
        </w:rPr>
        <w:t>ltimo pfo del art 20 LH</w:t>
      </w:r>
      <w:r w:rsidR="005F1EDB" w:rsidRPr="008A42D9">
        <w:rPr>
          <w:rFonts w:cs="Calibri"/>
          <w:b/>
        </w:rPr>
        <w:t xml:space="preserve"> </w:t>
      </w:r>
      <w:r w:rsidR="005F1EDB" w:rsidRPr="008A42D9">
        <w:rPr>
          <w:rFonts w:cs="Calibri"/>
        </w:rPr>
        <w:t>(</w:t>
      </w:r>
      <w:r w:rsidR="005F1EDB" w:rsidRPr="008A42D9">
        <w:rPr>
          <w:rFonts w:cs="Calibri"/>
          <w:i/>
        </w:rPr>
        <w:t xml:space="preserve">pfo que fue introducido por </w:t>
      </w:r>
      <w:smartTag w:uri="urn:schemas-microsoft-com:office:smarttags" w:element="PersonName">
        <w:smartTagPr>
          <w:attr w:name="ProductID" w:val="la Disp. Final"/>
        </w:smartTagPr>
        <w:r w:rsidR="005F1EDB" w:rsidRPr="008A42D9">
          <w:rPr>
            <w:rFonts w:cs="Calibri"/>
            <w:i/>
          </w:rPr>
          <w:t>la Disp. Final</w:t>
        </w:r>
      </w:smartTag>
      <w:r w:rsidR="005F1EDB" w:rsidRPr="008A42D9">
        <w:rPr>
          <w:rFonts w:cs="Calibri"/>
          <w:i/>
        </w:rPr>
        <w:t xml:space="preserve"> 3ª de </w:t>
      </w:r>
      <w:smartTag w:uri="urn:schemas-microsoft-com:office:smarttags" w:element="PersonName">
        <w:smartTagPr>
          <w:attr w:name="ProductID" w:val="la Ley Orgánica"/>
        </w:smartTagPr>
        <w:r w:rsidR="005F1EDB" w:rsidRPr="008A42D9">
          <w:rPr>
            <w:rFonts w:cs="Calibri"/>
            <w:i/>
          </w:rPr>
          <w:t>la Ley Orgánica</w:t>
        </w:r>
      </w:smartTag>
      <w:r w:rsidR="005F1EDB" w:rsidRPr="008A42D9">
        <w:rPr>
          <w:rFonts w:cs="Calibri"/>
          <w:i/>
        </w:rPr>
        <w:t xml:space="preserve"> de reforma del Código Penal</w:t>
      </w:r>
      <w:r w:rsidR="005F1EDB" w:rsidRPr="008A42D9">
        <w:rPr>
          <w:rFonts w:cs="Calibri"/>
        </w:rPr>
        <w:t>). Aquí la totalidad de la doctrina opina que</w:t>
      </w:r>
      <w:r>
        <w:rPr>
          <w:rFonts w:cs="Calibri"/>
        </w:rPr>
        <w:t>, en los procedimientos criminales,</w:t>
      </w:r>
      <w:r w:rsidR="005F1EDB" w:rsidRPr="008A42D9">
        <w:rPr>
          <w:rFonts w:cs="Calibri"/>
        </w:rPr>
        <w:t xml:space="preserve"> estamos en presencia de una auténtica excepción al principio de tracto sucesivo.</w:t>
      </w:r>
    </w:p>
    <w:p w:rsidR="004D7EAD" w:rsidRDefault="004D7EAD" w:rsidP="004A0A0B">
      <w:pPr>
        <w:ind w:left="852"/>
        <w:rPr>
          <w:rFonts w:cs="Calibri"/>
        </w:rPr>
      </w:pPr>
    </w:p>
    <w:p w:rsidR="005F1EDB" w:rsidRDefault="005F1EDB" w:rsidP="004D7EAD">
      <w:pPr>
        <w:ind w:left="1418"/>
        <w:rPr>
          <w:rFonts w:cs="Calibri"/>
        </w:rPr>
      </w:pPr>
      <w:r w:rsidRPr="008A42D9">
        <w:rPr>
          <w:rFonts w:cs="Calibri"/>
        </w:rPr>
        <w:t>El precepto tiene por finalidad el dar facilidades a la justicia en la lucha contra la delincuencia organizada y con suficiente poder económico</w:t>
      </w:r>
      <w:r w:rsidR="004D7EAD">
        <w:rPr>
          <w:rFonts w:cs="Calibri"/>
        </w:rPr>
        <w:t xml:space="preserve"> (s</w:t>
      </w:r>
      <w:r w:rsidRPr="008A42D9">
        <w:rPr>
          <w:rFonts w:cs="Calibri"/>
        </w:rPr>
        <w:t xml:space="preserve">i hubiese que esperar </w:t>
      </w:r>
      <w:r w:rsidRPr="008A42D9">
        <w:rPr>
          <w:rFonts w:cs="Calibri"/>
          <w:i/>
        </w:rPr>
        <w:t>a levantar el velo de la sociedad para proceder al embargo</w:t>
      </w:r>
      <w:r w:rsidRPr="008A42D9">
        <w:rPr>
          <w:rFonts w:cs="Calibri"/>
        </w:rPr>
        <w:t>, es muy probable que resultase frust</w:t>
      </w:r>
      <w:r w:rsidR="004D7EAD">
        <w:rPr>
          <w:rFonts w:cs="Calibri"/>
        </w:rPr>
        <w:t>r</w:t>
      </w:r>
      <w:r w:rsidRPr="008A42D9">
        <w:rPr>
          <w:rFonts w:cs="Calibri"/>
        </w:rPr>
        <w:t>ada la acción de la justicia</w:t>
      </w:r>
      <w:r w:rsidR="004D7EAD">
        <w:rPr>
          <w:rFonts w:cs="Calibri"/>
        </w:rPr>
        <w:t>)</w:t>
      </w:r>
      <w:r w:rsidRPr="008A42D9">
        <w:rPr>
          <w:rFonts w:cs="Calibri"/>
        </w:rPr>
        <w:t>.</w:t>
      </w:r>
    </w:p>
    <w:p w:rsidR="00826121" w:rsidRPr="004A0A0B" w:rsidRDefault="00826121" w:rsidP="004A0A0B">
      <w:pPr>
        <w:ind w:left="852"/>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5F1EDB" w:rsidRPr="008A42D9">
        <w:tc>
          <w:tcPr>
            <w:tcW w:w="9494" w:type="dxa"/>
          </w:tcPr>
          <w:p w:rsidR="005F1EDB" w:rsidRPr="008A42D9" w:rsidRDefault="005F1EDB" w:rsidP="00935E74">
            <w:pPr>
              <w:jc w:val="center"/>
              <w:rPr>
                <w:rFonts w:cs="Calibri"/>
                <w:b/>
              </w:rPr>
            </w:pPr>
            <w:r w:rsidRPr="008A42D9">
              <w:rPr>
                <w:rFonts w:cs="Calibri"/>
                <w:b/>
              </w:rPr>
              <w:t xml:space="preserve">INTERRUPCIÓN DEL TRACTO Y REANUDACIÓN DE </w:t>
            </w:r>
            <w:smartTag w:uri="urn:schemas-microsoft-com:office:smarttags" w:element="PersonName">
              <w:smartTagPr>
                <w:attr w:name="ProductID" w:val="LA VIDA"/>
              </w:smartTagPr>
              <w:r w:rsidRPr="008A42D9">
                <w:rPr>
                  <w:rFonts w:cs="Calibri"/>
                  <w:b/>
                </w:rPr>
                <w:t>LA VIDA</w:t>
              </w:r>
            </w:smartTag>
            <w:r w:rsidRPr="008A42D9">
              <w:rPr>
                <w:rFonts w:cs="Calibri"/>
                <w:b/>
              </w:rPr>
              <w:t xml:space="preserve"> REGISTRAL</w:t>
            </w:r>
          </w:p>
        </w:tc>
      </w:tr>
    </w:tbl>
    <w:p w:rsidR="005F1EDB" w:rsidRPr="008A42D9" w:rsidRDefault="005F1EDB" w:rsidP="005F1EDB">
      <w:pPr>
        <w:rPr>
          <w:rFonts w:cs="Calibri"/>
        </w:rPr>
      </w:pPr>
    </w:p>
    <w:p w:rsidR="004A0A0B" w:rsidRDefault="005F1EDB" w:rsidP="00564F7B">
      <w:pPr>
        <w:rPr>
          <w:rFonts w:cs="Calibri"/>
        </w:rPr>
      </w:pPr>
      <w:r w:rsidRPr="008A42D9">
        <w:rPr>
          <w:rFonts w:cs="Calibri"/>
        </w:rPr>
        <w:t xml:space="preserve">En el sistema español en el que la inscripción </w:t>
      </w:r>
      <w:r w:rsidR="004A0A0B">
        <w:rPr>
          <w:rFonts w:cs="Calibri"/>
        </w:rPr>
        <w:t xml:space="preserve">es DECLARATIVA y VOLUNTARIA, </w:t>
      </w:r>
      <w:r w:rsidRPr="008A42D9">
        <w:rPr>
          <w:rFonts w:cs="Calibri"/>
        </w:rPr>
        <w:t xml:space="preserve"> la</w:t>
      </w:r>
      <w:r w:rsidRPr="00564F7B">
        <w:rPr>
          <w:rFonts w:cs="Calibri"/>
        </w:rPr>
        <w:t xml:space="preserve"> interrupción del tracto sucesivo es un fenómeno relativamente frecuente</w:t>
      </w:r>
      <w:r w:rsidR="00564F7B" w:rsidRPr="00564F7B">
        <w:rPr>
          <w:rFonts w:cs="Calibri"/>
        </w:rPr>
        <w:t xml:space="preserve"> que</w:t>
      </w:r>
      <w:r w:rsidRPr="00564F7B">
        <w:rPr>
          <w:rFonts w:cs="Calibri"/>
        </w:rPr>
        <w:t xml:space="preserve"> origina una discordancia entre el Registro y la realidad jurídica extra</w:t>
      </w:r>
      <w:r w:rsidR="004A0A0B" w:rsidRPr="00564F7B">
        <w:rPr>
          <w:rFonts w:cs="Calibri"/>
        </w:rPr>
        <w:t>-</w:t>
      </w:r>
      <w:r w:rsidRPr="00564F7B">
        <w:rPr>
          <w:rFonts w:cs="Calibri"/>
        </w:rPr>
        <w:t>registral, situación a la que debe ponerse remedio.</w:t>
      </w:r>
    </w:p>
    <w:p w:rsidR="008C14B6" w:rsidRDefault="008C14B6" w:rsidP="008C14B6">
      <w:pPr>
        <w:ind w:left="720"/>
        <w:rPr>
          <w:rFonts w:cs="Calibri"/>
        </w:rPr>
      </w:pPr>
    </w:p>
    <w:p w:rsidR="008C14B6" w:rsidRDefault="005F1EDB" w:rsidP="008C14B6">
      <w:pPr>
        <w:numPr>
          <w:ilvl w:val="0"/>
          <w:numId w:val="18"/>
        </w:numPr>
        <w:rPr>
          <w:rFonts w:cs="Calibri"/>
        </w:rPr>
      </w:pPr>
      <w:r w:rsidRPr="008A42D9">
        <w:rPr>
          <w:rFonts w:cs="Calibri"/>
        </w:rPr>
        <w:t xml:space="preserve"> En teoría, </w:t>
      </w:r>
      <w:r w:rsidRPr="004A0A0B">
        <w:rPr>
          <w:rFonts w:cs="Calibri"/>
          <w:u w:val="single"/>
        </w:rPr>
        <w:t xml:space="preserve">el sistema para </w:t>
      </w:r>
      <w:r w:rsidR="00C20B99">
        <w:rPr>
          <w:rFonts w:cs="Calibri"/>
          <w:u w:val="single"/>
        </w:rPr>
        <w:t>“</w:t>
      </w:r>
      <w:r w:rsidR="004A0A0B" w:rsidRPr="004A0A0B">
        <w:rPr>
          <w:rFonts w:cs="Calibri"/>
          <w:u w:val="single"/>
        </w:rPr>
        <w:t>re</w:t>
      </w:r>
      <w:r w:rsidRPr="004A0A0B">
        <w:rPr>
          <w:rFonts w:cs="Calibri"/>
          <w:u w:val="single"/>
        </w:rPr>
        <w:t>hacer</w:t>
      </w:r>
      <w:r w:rsidR="00C20B99">
        <w:rPr>
          <w:rFonts w:cs="Calibri"/>
          <w:u w:val="single"/>
        </w:rPr>
        <w:t>”</w:t>
      </w:r>
      <w:r w:rsidRPr="004A0A0B">
        <w:rPr>
          <w:rFonts w:cs="Calibri"/>
          <w:u w:val="single"/>
        </w:rPr>
        <w:t xml:space="preserve"> la cadena de transmisiones</w:t>
      </w:r>
      <w:r w:rsidR="00C20B99">
        <w:rPr>
          <w:rFonts w:cs="Calibri"/>
          <w:u w:val="single"/>
        </w:rPr>
        <w:t xml:space="preserve"> rota</w:t>
      </w:r>
      <w:r w:rsidRPr="004A0A0B">
        <w:rPr>
          <w:rFonts w:cs="Calibri"/>
          <w:u w:val="single"/>
        </w:rPr>
        <w:t xml:space="preserve"> es sencillo</w:t>
      </w:r>
      <w:r w:rsidR="004A0A0B">
        <w:rPr>
          <w:rFonts w:cs="Calibri"/>
        </w:rPr>
        <w:t>,</w:t>
      </w:r>
      <w:r w:rsidRPr="008A42D9">
        <w:rPr>
          <w:rFonts w:cs="Calibri"/>
        </w:rPr>
        <w:t xml:space="preserve"> pero </w:t>
      </w:r>
      <w:r w:rsidR="004A0A0B">
        <w:rPr>
          <w:rFonts w:cs="Calibri"/>
        </w:rPr>
        <w:t xml:space="preserve">existen dificultades de </w:t>
      </w:r>
      <w:r w:rsidRPr="008A42D9">
        <w:rPr>
          <w:rFonts w:cs="Calibri"/>
        </w:rPr>
        <w:t xml:space="preserve">tipo práctico, por ejemplo </w:t>
      </w:r>
      <w:r w:rsidR="008C14B6">
        <w:rPr>
          <w:rFonts w:cs="Calibri"/>
        </w:rPr>
        <w:t xml:space="preserve">la </w:t>
      </w:r>
      <w:r w:rsidRPr="008A42D9">
        <w:rPr>
          <w:rFonts w:cs="Calibri"/>
        </w:rPr>
        <w:t xml:space="preserve">inexistencia de título público en algunas de las transmisiones intermedias </w:t>
      </w:r>
      <w:r w:rsidR="008C14B6">
        <w:rPr>
          <w:rFonts w:cs="Calibri"/>
        </w:rPr>
        <w:t>ó</w:t>
      </w:r>
      <w:r w:rsidRPr="008A42D9">
        <w:rPr>
          <w:rFonts w:cs="Calibri"/>
        </w:rPr>
        <w:t xml:space="preserve"> por dificultades de localización de los titulares intermedios.</w:t>
      </w:r>
    </w:p>
    <w:p w:rsidR="008C14B6" w:rsidRDefault="008C14B6" w:rsidP="008C14B6">
      <w:pPr>
        <w:rPr>
          <w:rFonts w:cs="Calibri"/>
        </w:rPr>
      </w:pPr>
    </w:p>
    <w:p w:rsidR="005F1EDB" w:rsidRDefault="005F1EDB" w:rsidP="008C14B6">
      <w:pPr>
        <w:numPr>
          <w:ilvl w:val="0"/>
          <w:numId w:val="18"/>
        </w:numPr>
        <w:rPr>
          <w:rFonts w:cs="Calibri"/>
        </w:rPr>
      </w:pPr>
      <w:r w:rsidRPr="008C14B6">
        <w:rPr>
          <w:rFonts w:cs="Calibri"/>
          <w:u w:val="single"/>
        </w:rPr>
        <w:t xml:space="preserve">Por este motivo </w:t>
      </w:r>
      <w:smartTag w:uri="urn:schemas-microsoft-com:office:smarttags" w:element="PersonName">
        <w:smartTagPr>
          <w:attr w:name="ProductID" w:val="la LH"/>
        </w:smartTagPr>
        <w:r w:rsidRPr="008C14B6">
          <w:rPr>
            <w:rFonts w:cs="Calibri"/>
            <w:u w:val="single"/>
          </w:rPr>
          <w:t>la LH</w:t>
        </w:r>
      </w:smartTag>
      <w:r w:rsidRPr="008C14B6">
        <w:rPr>
          <w:rFonts w:cs="Calibri"/>
          <w:u w:val="single"/>
        </w:rPr>
        <w:t xml:space="preserve"> prevé una serie de </w:t>
      </w:r>
      <w:r w:rsidR="008C14B6">
        <w:rPr>
          <w:rFonts w:cs="Calibri"/>
          <w:u w:val="single"/>
        </w:rPr>
        <w:t>“</w:t>
      </w:r>
      <w:r w:rsidRPr="008C14B6">
        <w:rPr>
          <w:rFonts w:cs="Calibri"/>
          <w:u w:val="single"/>
        </w:rPr>
        <w:t>sistemas especiales</w:t>
      </w:r>
      <w:r w:rsidR="008C14B6">
        <w:rPr>
          <w:rFonts w:cs="Calibri"/>
          <w:u w:val="single"/>
        </w:rPr>
        <w:t>”</w:t>
      </w:r>
      <w:r w:rsidRPr="008C14B6">
        <w:rPr>
          <w:rFonts w:cs="Calibri"/>
          <w:u w:val="single"/>
        </w:rPr>
        <w:t xml:space="preserve"> para conseguir la concordancia entre el Registro y la realidad extra</w:t>
      </w:r>
      <w:r w:rsidR="008C14B6" w:rsidRPr="008C14B6">
        <w:rPr>
          <w:rFonts w:cs="Calibri"/>
          <w:u w:val="single"/>
        </w:rPr>
        <w:t>-</w:t>
      </w:r>
      <w:r w:rsidRPr="008C14B6">
        <w:rPr>
          <w:rFonts w:cs="Calibri"/>
          <w:u w:val="single"/>
        </w:rPr>
        <w:t>registral</w:t>
      </w:r>
      <w:r w:rsidR="00380B8D">
        <w:rPr>
          <w:rFonts w:cs="Calibri"/>
        </w:rPr>
        <w:t>. Destacamos:</w:t>
      </w:r>
    </w:p>
    <w:p w:rsidR="00380B8D" w:rsidRDefault="00380B8D" w:rsidP="00380B8D">
      <w:pPr>
        <w:rPr>
          <w:rFonts w:cs="Calibri"/>
        </w:rPr>
      </w:pPr>
    </w:p>
    <w:p w:rsidR="005F1EDB" w:rsidRPr="00876109" w:rsidRDefault="00380B8D" w:rsidP="00380B8D">
      <w:pPr>
        <w:numPr>
          <w:ilvl w:val="0"/>
          <w:numId w:val="14"/>
        </w:numPr>
        <w:rPr>
          <w:rFonts w:cs="Calibri"/>
          <w:b/>
          <w:i/>
          <w:color w:val="7F7F7F"/>
        </w:rPr>
      </w:pPr>
      <w:r>
        <w:rPr>
          <w:rFonts w:cs="Calibri"/>
        </w:rPr>
        <w:lastRenderedPageBreak/>
        <w:t xml:space="preserve">40.a LH </w:t>
      </w:r>
      <w:r w:rsidRPr="00380B8D">
        <w:rPr>
          <w:rFonts w:cs="Calibri"/>
        </w:rPr>
        <w:t xml:space="preserve">) </w:t>
      </w:r>
      <w:r w:rsidRPr="00876109">
        <w:rPr>
          <w:rFonts w:cs="Calibri"/>
          <w:b/>
          <w:i/>
          <w:color w:val="7F7F7F"/>
        </w:rPr>
        <w:t xml:space="preserve">Cuando la inexactitud proviniere de no haber tenido acceso al Registro alguna relación jurídica inmobiliaria, la rectificación tendrá lugar: primero, por la </w:t>
      </w:r>
      <w:r w:rsidRPr="00876109">
        <w:rPr>
          <w:rFonts w:cs="Calibri"/>
          <w:b/>
          <w:i/>
          <w:color w:val="7F7F7F"/>
          <w:u w:val="single"/>
        </w:rPr>
        <w:t>toma de razón del título correspondiente</w:t>
      </w:r>
      <w:r w:rsidRPr="00876109">
        <w:rPr>
          <w:rFonts w:cs="Calibri"/>
          <w:b/>
          <w:i/>
          <w:color w:val="7F7F7F"/>
        </w:rPr>
        <w:t>, si hubiere lugar a ello; segundo, por la reanudación del tracto sucesivo, con arreglo a lo dispuesto en el Título VI de esta Ley (</w:t>
      </w:r>
      <w:r w:rsidRPr="00876109">
        <w:rPr>
          <w:rFonts w:cs="Calibri"/>
          <w:b/>
          <w:i/>
          <w:color w:val="7F7F7F"/>
          <w:highlight w:val="yellow"/>
          <w:u w:val="single"/>
        </w:rPr>
        <w:t>208 LH</w:t>
      </w:r>
      <w:r w:rsidRPr="00876109">
        <w:rPr>
          <w:rFonts w:cs="Calibri"/>
          <w:b/>
          <w:i/>
          <w:color w:val="7F7F7F"/>
        </w:rPr>
        <w:t xml:space="preserve">), y tercero, por </w:t>
      </w:r>
      <w:r w:rsidRPr="00876109">
        <w:rPr>
          <w:rFonts w:cs="Calibri"/>
          <w:b/>
          <w:i/>
          <w:color w:val="7F7F7F"/>
          <w:u w:val="single"/>
        </w:rPr>
        <w:t>resolución judicial</w:t>
      </w:r>
      <w:r w:rsidRPr="00876109">
        <w:rPr>
          <w:rFonts w:cs="Calibri"/>
          <w:b/>
          <w:i/>
          <w:color w:val="7F7F7F"/>
        </w:rPr>
        <w:t>, ordenando la rectificación.</w:t>
      </w:r>
    </w:p>
    <w:p w:rsidR="00876109" w:rsidRDefault="00876109" w:rsidP="00876109">
      <w:pPr>
        <w:rPr>
          <w:rFonts w:cs="Calibri"/>
          <w:b/>
          <w:bCs/>
          <w:color w:val="1F497D"/>
        </w:rPr>
      </w:pPr>
    </w:p>
    <w:p w:rsidR="00876109" w:rsidRDefault="00876109" w:rsidP="00876109">
      <w:pPr>
        <w:ind w:left="2127"/>
        <w:rPr>
          <w:rFonts w:cs="Calibri"/>
          <w:b/>
          <w:bCs/>
        </w:rPr>
      </w:pPr>
      <w:r w:rsidRPr="00580EA1">
        <w:rPr>
          <w:rFonts w:cs="Calibri"/>
          <w:b/>
          <w:bCs/>
          <w:color w:val="1F497D"/>
        </w:rPr>
        <w:t>Tratándose de ACTAS DE NOTORIEDAD que tengan por objeto la reanudación del tracto sucesivo interrumpido,</w:t>
      </w:r>
      <w:r w:rsidRPr="00580EA1">
        <w:rPr>
          <w:rFonts w:cs="Calibri"/>
        </w:rPr>
        <w:t xml:space="preserve"> destacar</w:t>
      </w:r>
      <w:r>
        <w:rPr>
          <w:rFonts w:cs="Calibri"/>
        </w:rPr>
        <w:t xml:space="preserve"> que e</w:t>
      </w:r>
      <w:r w:rsidRPr="00580EA1">
        <w:rPr>
          <w:rFonts w:cs="Calibri"/>
        </w:rPr>
        <w:t xml:space="preserve">l </w:t>
      </w:r>
      <w:r w:rsidRPr="00580EA1">
        <w:rPr>
          <w:rFonts w:cs="Calibri"/>
          <w:b/>
          <w:bCs/>
        </w:rPr>
        <w:t>art 20</w:t>
      </w:r>
      <w:r>
        <w:rPr>
          <w:rFonts w:cs="Calibri"/>
          <w:b/>
          <w:bCs/>
        </w:rPr>
        <w:t>8</w:t>
      </w:r>
      <w:r w:rsidRPr="00580EA1">
        <w:rPr>
          <w:rFonts w:cs="Calibri"/>
          <w:b/>
          <w:bCs/>
        </w:rPr>
        <w:t xml:space="preserve"> LH </w:t>
      </w:r>
      <w:r w:rsidRPr="00580EA1">
        <w:rPr>
          <w:rFonts w:cs="Calibri"/>
          <w:u w:val="single"/>
        </w:rPr>
        <w:t>exige requisitos diferentes</w:t>
      </w:r>
      <w:r w:rsidRPr="00580EA1">
        <w:rPr>
          <w:rFonts w:cs="Calibri"/>
        </w:rPr>
        <w:t xml:space="preserve"> según que las inscripciones contradictorias tenga </w:t>
      </w:r>
      <w:r>
        <w:rPr>
          <w:rFonts w:cs="Calibri"/>
        </w:rPr>
        <w:t xml:space="preserve">más ó menos </w:t>
      </w:r>
      <w:r w:rsidRPr="00580EA1">
        <w:rPr>
          <w:rFonts w:cs="Calibri"/>
        </w:rPr>
        <w:t>de 30 años de antigüedad.</w:t>
      </w:r>
      <w:r w:rsidRPr="00580EA1">
        <w:rPr>
          <w:rFonts w:cs="Calibri"/>
          <w:b/>
          <w:bCs/>
        </w:rPr>
        <w:t xml:space="preserve"> </w:t>
      </w:r>
    </w:p>
    <w:p w:rsidR="00876109" w:rsidRDefault="00876109" w:rsidP="00876109">
      <w:pPr>
        <w:ind w:left="2127"/>
        <w:rPr>
          <w:rFonts w:cs="Calibri"/>
        </w:rPr>
      </w:pPr>
    </w:p>
    <w:p w:rsidR="00876109" w:rsidRPr="00876109" w:rsidRDefault="00876109" w:rsidP="00876109">
      <w:pPr>
        <w:ind w:left="2836"/>
        <w:rPr>
          <w:rFonts w:cs="Calibri"/>
          <w:b/>
          <w:bCs/>
          <w:i/>
          <w:iCs/>
          <w:color w:val="7F7F7F"/>
        </w:rPr>
      </w:pPr>
      <w:r w:rsidRPr="00876109">
        <w:rPr>
          <w:rFonts w:cs="Calibri"/>
          <w:b/>
          <w:bCs/>
          <w:i/>
          <w:iCs/>
          <w:color w:val="7F7F7F"/>
        </w:rPr>
        <w:t>Cuando la última inscripción de dominio o del derecho real cuyo tracto se pretenda reanudar tenga menos de treinta años de antigüedad, la citación al titular registral o sus herederos deberá realizarse de modo personal.</w:t>
      </w:r>
    </w:p>
    <w:p w:rsidR="00380B8D" w:rsidRPr="008A42D9" w:rsidRDefault="00380B8D" w:rsidP="00380B8D">
      <w:pPr>
        <w:ind w:left="1211"/>
        <w:rPr>
          <w:rFonts w:cs="Calibri"/>
        </w:rPr>
      </w:pPr>
    </w:p>
    <w:p w:rsidR="005F1EDB" w:rsidRPr="008A42D9" w:rsidRDefault="008C14B6" w:rsidP="00380B8D">
      <w:pPr>
        <w:numPr>
          <w:ilvl w:val="0"/>
          <w:numId w:val="14"/>
        </w:numPr>
        <w:rPr>
          <w:rFonts w:cs="Calibri"/>
        </w:rPr>
      </w:pPr>
      <w:r>
        <w:rPr>
          <w:rFonts w:cs="Calibri"/>
        </w:rPr>
        <w:t>L</w:t>
      </w:r>
      <w:r w:rsidR="005F1EDB" w:rsidRPr="008A42D9">
        <w:rPr>
          <w:rFonts w:cs="Calibri"/>
        </w:rPr>
        <w:t xml:space="preserve">os </w:t>
      </w:r>
      <w:r w:rsidR="005F1EDB" w:rsidRPr="00C20B99">
        <w:rPr>
          <w:rFonts w:cs="Calibri"/>
          <w:i/>
          <w:iCs/>
        </w:rPr>
        <w:t>procedimientos especiales</w:t>
      </w:r>
      <w:r w:rsidR="005F1EDB" w:rsidRPr="008A42D9">
        <w:rPr>
          <w:rFonts w:cs="Calibri"/>
        </w:rPr>
        <w:t xml:space="preserve"> del art. 9 RD </w:t>
      </w:r>
      <w:r>
        <w:rPr>
          <w:rFonts w:cs="Calibri"/>
        </w:rPr>
        <w:t>1093/1.997</w:t>
      </w:r>
      <w:r w:rsidR="00380B8D">
        <w:rPr>
          <w:rFonts w:cs="Calibri"/>
        </w:rPr>
        <w:t xml:space="preserve"> (</w:t>
      </w:r>
      <w:r w:rsidR="00380B8D" w:rsidRPr="00380B8D">
        <w:rPr>
          <w:rFonts w:cs="Calibri"/>
        </w:rPr>
        <w:t>Reanudación del tracto sucesivo interrumpido sobre las fincas de origen</w:t>
      </w:r>
      <w:r w:rsidR="00380B8D">
        <w:rPr>
          <w:rFonts w:cs="Calibri"/>
        </w:rPr>
        <w:t>) y 206.4 LH (certificación admtva)</w:t>
      </w:r>
    </w:p>
    <w:sectPr w:rsidR="005F1EDB" w:rsidRPr="008A42D9" w:rsidSect="008A42D9">
      <w:footerReference w:type="even" r:id="rId7"/>
      <w:footerReference w:type="default" r:id="rId8"/>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B84" w:rsidRDefault="00715B84">
      <w:r>
        <w:separator/>
      </w:r>
    </w:p>
  </w:endnote>
  <w:endnote w:type="continuationSeparator" w:id="0">
    <w:p w:rsidR="00715B84" w:rsidRDefault="0071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aavi">
    <w:altName w:val="Cambria Math"/>
    <w:panose1 w:val="020005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9B" w:rsidRDefault="001F529B" w:rsidP="00935E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F529B" w:rsidRDefault="001F529B" w:rsidP="00ED72B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9B" w:rsidRDefault="001F529B" w:rsidP="00935E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3C16">
      <w:rPr>
        <w:rStyle w:val="Nmerodepgina"/>
        <w:noProof/>
      </w:rPr>
      <w:t>1</w:t>
    </w:r>
    <w:r>
      <w:rPr>
        <w:rStyle w:val="Nmerodepgina"/>
      </w:rPr>
      <w:fldChar w:fldCharType="end"/>
    </w:r>
  </w:p>
  <w:p w:rsidR="001F529B" w:rsidRDefault="001F529B" w:rsidP="00ED72B5">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B84" w:rsidRDefault="00715B84">
      <w:r>
        <w:separator/>
      </w:r>
    </w:p>
  </w:footnote>
  <w:footnote w:type="continuationSeparator" w:id="0">
    <w:p w:rsidR="00715B84" w:rsidRDefault="00715B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475"/>
    <w:multiLevelType w:val="hybridMultilevel"/>
    <w:tmpl w:val="4274BD54"/>
    <w:lvl w:ilvl="0" w:tplc="C1D245AA">
      <w:start w:val="1"/>
      <w:numFmt w:val="bullet"/>
      <w:lvlText w:val="-"/>
      <w:lvlJc w:val="left"/>
      <w:pPr>
        <w:ind w:left="1004" w:hanging="360"/>
      </w:pPr>
      <w:rPr>
        <w:rFonts w:ascii="Raavi" w:hAnsi="Raav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39647AC"/>
    <w:multiLevelType w:val="hybridMultilevel"/>
    <w:tmpl w:val="923A3E9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736569"/>
    <w:multiLevelType w:val="hybridMultilevel"/>
    <w:tmpl w:val="98183906"/>
    <w:lvl w:ilvl="0" w:tplc="C1D245AA">
      <w:start w:val="1"/>
      <w:numFmt w:val="bullet"/>
      <w:lvlText w:val="-"/>
      <w:lvlJc w:val="left"/>
      <w:pPr>
        <w:ind w:left="1174" w:hanging="360"/>
      </w:pPr>
      <w:rPr>
        <w:rFonts w:ascii="Raavi" w:hAnsi="Raavi"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3" w15:restartNumberingAfterBreak="0">
    <w:nsid w:val="088B0032"/>
    <w:multiLevelType w:val="hybridMultilevel"/>
    <w:tmpl w:val="458C6670"/>
    <w:lvl w:ilvl="0" w:tplc="0C0A0003">
      <w:start w:val="1"/>
      <w:numFmt w:val="bullet"/>
      <w:lvlText w:val="o"/>
      <w:lvlJc w:val="left"/>
      <w:pPr>
        <w:ind w:left="928" w:hanging="360"/>
      </w:pPr>
      <w:rPr>
        <w:rFonts w:ascii="Courier New" w:hAnsi="Courier New" w:cs="Courier New"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4" w15:restartNumberingAfterBreak="0">
    <w:nsid w:val="0F6551C5"/>
    <w:multiLevelType w:val="hybridMultilevel"/>
    <w:tmpl w:val="4F70D052"/>
    <w:lvl w:ilvl="0" w:tplc="C1D245AA">
      <w:start w:val="1"/>
      <w:numFmt w:val="bullet"/>
      <w:lvlText w:val="-"/>
      <w:lvlJc w:val="left"/>
      <w:pPr>
        <w:ind w:left="1440" w:hanging="360"/>
      </w:pPr>
      <w:rPr>
        <w:rFonts w:ascii="Raavi" w:hAnsi="Raav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6E2179C"/>
    <w:multiLevelType w:val="hybridMultilevel"/>
    <w:tmpl w:val="ECC6F5B8"/>
    <w:lvl w:ilvl="0" w:tplc="C1D245AA">
      <w:start w:val="1"/>
      <w:numFmt w:val="bullet"/>
      <w:lvlText w:val="-"/>
      <w:lvlJc w:val="left"/>
      <w:pPr>
        <w:ind w:left="1211" w:hanging="360"/>
      </w:pPr>
      <w:rPr>
        <w:rFonts w:ascii="Raavi" w:hAnsi="Raavi"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6" w15:restartNumberingAfterBreak="0">
    <w:nsid w:val="19CB3EAA"/>
    <w:multiLevelType w:val="hybridMultilevel"/>
    <w:tmpl w:val="8856F5C6"/>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83B2110"/>
    <w:multiLevelType w:val="hybridMultilevel"/>
    <w:tmpl w:val="1B60B278"/>
    <w:lvl w:ilvl="0" w:tplc="C1D245AA">
      <w:start w:val="1"/>
      <w:numFmt w:val="bullet"/>
      <w:lvlText w:val="-"/>
      <w:lvlJc w:val="left"/>
      <w:pPr>
        <w:ind w:left="1004" w:hanging="360"/>
      </w:pPr>
      <w:rPr>
        <w:rFonts w:ascii="Raavi" w:hAnsi="Raavi"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2890626E"/>
    <w:multiLevelType w:val="hybridMultilevel"/>
    <w:tmpl w:val="A6266E0E"/>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314C6C"/>
    <w:multiLevelType w:val="hybridMultilevel"/>
    <w:tmpl w:val="12A82A88"/>
    <w:lvl w:ilvl="0" w:tplc="C1D245AA">
      <w:start w:val="1"/>
      <w:numFmt w:val="bullet"/>
      <w:lvlText w:val="-"/>
      <w:lvlJc w:val="left"/>
      <w:pPr>
        <w:ind w:left="1004" w:hanging="360"/>
      </w:pPr>
      <w:rPr>
        <w:rFonts w:ascii="Raavi" w:hAnsi="Raav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3A46403A"/>
    <w:multiLevelType w:val="hybridMultilevel"/>
    <w:tmpl w:val="749C1E0C"/>
    <w:lvl w:ilvl="0" w:tplc="0C0A0005">
      <w:start w:val="1"/>
      <w:numFmt w:val="bullet"/>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1" w15:restartNumberingAfterBreak="0">
    <w:nsid w:val="40D157B8"/>
    <w:multiLevelType w:val="hybridMultilevel"/>
    <w:tmpl w:val="8B4C6082"/>
    <w:lvl w:ilvl="0" w:tplc="4CB8B594">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D24A21"/>
    <w:multiLevelType w:val="hybridMultilevel"/>
    <w:tmpl w:val="3990D84E"/>
    <w:lvl w:ilvl="0" w:tplc="C1D245AA">
      <w:start w:val="1"/>
      <w:numFmt w:val="bullet"/>
      <w:lvlText w:val="-"/>
      <w:lvlJc w:val="left"/>
      <w:pPr>
        <w:ind w:left="1004" w:hanging="360"/>
      </w:pPr>
      <w:rPr>
        <w:rFonts w:ascii="Raavi" w:hAnsi="Raav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42E5931"/>
    <w:multiLevelType w:val="hybridMultilevel"/>
    <w:tmpl w:val="EA8EF90A"/>
    <w:lvl w:ilvl="0" w:tplc="C1D245AA">
      <w:start w:val="1"/>
      <w:numFmt w:val="bullet"/>
      <w:lvlText w:val="-"/>
      <w:lvlJc w:val="left"/>
      <w:pPr>
        <w:ind w:left="1212" w:hanging="360"/>
      </w:pPr>
      <w:rPr>
        <w:rFonts w:ascii="Raavi" w:hAnsi="Raavi" w:hint="default"/>
      </w:rPr>
    </w:lvl>
    <w:lvl w:ilvl="1" w:tplc="0C0A0003" w:tentative="1">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4" w15:restartNumberingAfterBreak="0">
    <w:nsid w:val="464C0259"/>
    <w:multiLevelType w:val="hybridMultilevel"/>
    <w:tmpl w:val="8BF25DEE"/>
    <w:lvl w:ilvl="0" w:tplc="0C0A0003">
      <w:start w:val="1"/>
      <w:numFmt w:val="bullet"/>
      <w:lvlText w:val="o"/>
      <w:lvlJc w:val="left"/>
      <w:pPr>
        <w:ind w:left="1724" w:hanging="360"/>
      </w:pPr>
      <w:rPr>
        <w:rFonts w:ascii="Courier New" w:hAnsi="Courier New" w:cs="Courier New"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15" w15:restartNumberingAfterBreak="0">
    <w:nsid w:val="4B2872C6"/>
    <w:multiLevelType w:val="hybridMultilevel"/>
    <w:tmpl w:val="D062B564"/>
    <w:lvl w:ilvl="0" w:tplc="8DB8659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E89340E"/>
    <w:multiLevelType w:val="hybridMultilevel"/>
    <w:tmpl w:val="8E18B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E91675C"/>
    <w:multiLevelType w:val="hybridMultilevel"/>
    <w:tmpl w:val="E6863576"/>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C17C8E"/>
    <w:multiLevelType w:val="hybridMultilevel"/>
    <w:tmpl w:val="841212F2"/>
    <w:lvl w:ilvl="0" w:tplc="B31A9BD4">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9" w15:restartNumberingAfterBreak="0">
    <w:nsid w:val="54923372"/>
    <w:multiLevelType w:val="hybridMultilevel"/>
    <w:tmpl w:val="9E92E70E"/>
    <w:lvl w:ilvl="0" w:tplc="C1D245AA">
      <w:start w:val="1"/>
      <w:numFmt w:val="bullet"/>
      <w:lvlText w:val="-"/>
      <w:lvlJc w:val="left"/>
      <w:pPr>
        <w:ind w:left="1212" w:hanging="360"/>
      </w:pPr>
      <w:rPr>
        <w:rFonts w:ascii="Raavi" w:hAnsi="Raavi" w:hint="default"/>
      </w:rPr>
    </w:lvl>
    <w:lvl w:ilvl="1" w:tplc="0C0A0003" w:tentative="1">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20" w15:restartNumberingAfterBreak="0">
    <w:nsid w:val="77942969"/>
    <w:multiLevelType w:val="hybridMultilevel"/>
    <w:tmpl w:val="D0A26B8E"/>
    <w:lvl w:ilvl="0" w:tplc="A6F48C74">
      <w:start w:val="6"/>
      <w:numFmt w:val="bullet"/>
      <w:lvlText w:val=""/>
      <w:lvlJc w:val="left"/>
      <w:pPr>
        <w:tabs>
          <w:tab w:val="num" w:pos="1068"/>
        </w:tabs>
        <w:ind w:left="1068" w:hanging="360"/>
      </w:pPr>
      <w:rPr>
        <w:rFonts w:ascii="Symbol" w:eastAsia="Times New Roman" w:hAnsi="Symbol" w:cs="Courier New"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7AD521AA"/>
    <w:multiLevelType w:val="hybridMultilevel"/>
    <w:tmpl w:val="5254E18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C5E6E78"/>
    <w:multiLevelType w:val="hybridMultilevel"/>
    <w:tmpl w:val="8F7622D4"/>
    <w:lvl w:ilvl="0" w:tplc="C1D245AA">
      <w:start w:val="1"/>
      <w:numFmt w:val="bullet"/>
      <w:lvlText w:val="-"/>
      <w:lvlJc w:val="left"/>
      <w:pPr>
        <w:ind w:left="1004" w:hanging="360"/>
      </w:pPr>
      <w:rPr>
        <w:rFonts w:ascii="Raavi" w:hAnsi="Raav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7"/>
  </w:num>
  <w:num w:numId="2">
    <w:abstractNumId w:val="18"/>
  </w:num>
  <w:num w:numId="3">
    <w:abstractNumId w:val="17"/>
  </w:num>
  <w:num w:numId="4">
    <w:abstractNumId w:val="13"/>
  </w:num>
  <w:num w:numId="5">
    <w:abstractNumId w:val="19"/>
  </w:num>
  <w:num w:numId="6">
    <w:abstractNumId w:val="16"/>
  </w:num>
  <w:num w:numId="7">
    <w:abstractNumId w:val="9"/>
  </w:num>
  <w:num w:numId="8">
    <w:abstractNumId w:val="12"/>
  </w:num>
  <w:num w:numId="9">
    <w:abstractNumId w:val="0"/>
  </w:num>
  <w:num w:numId="10">
    <w:abstractNumId w:val="22"/>
  </w:num>
  <w:num w:numId="11">
    <w:abstractNumId w:val="4"/>
  </w:num>
  <w:num w:numId="12">
    <w:abstractNumId w:val="8"/>
  </w:num>
  <w:num w:numId="13">
    <w:abstractNumId w:val="3"/>
  </w:num>
  <w:num w:numId="14">
    <w:abstractNumId w:val="5"/>
  </w:num>
  <w:num w:numId="15">
    <w:abstractNumId w:val="10"/>
  </w:num>
  <w:num w:numId="16">
    <w:abstractNumId w:val="14"/>
  </w:num>
  <w:num w:numId="17">
    <w:abstractNumId w:val="2"/>
  </w:num>
  <w:num w:numId="18">
    <w:abstractNumId w:val="1"/>
  </w:num>
  <w:num w:numId="19">
    <w:abstractNumId w:val="11"/>
  </w:num>
  <w:num w:numId="20">
    <w:abstractNumId w:val="20"/>
  </w:num>
  <w:num w:numId="21">
    <w:abstractNumId w:val="21"/>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34"/>
    <w:rsid w:val="00053C16"/>
    <w:rsid w:val="000A0FA5"/>
    <w:rsid w:val="00131812"/>
    <w:rsid w:val="001F529B"/>
    <w:rsid w:val="00215334"/>
    <w:rsid w:val="00224753"/>
    <w:rsid w:val="00262B16"/>
    <w:rsid w:val="0030667D"/>
    <w:rsid w:val="0036297E"/>
    <w:rsid w:val="00373138"/>
    <w:rsid w:val="00380B8D"/>
    <w:rsid w:val="003C1366"/>
    <w:rsid w:val="00413DD0"/>
    <w:rsid w:val="004A0A0B"/>
    <w:rsid w:val="004D7EAD"/>
    <w:rsid w:val="00520EEF"/>
    <w:rsid w:val="0055270A"/>
    <w:rsid w:val="00564F7B"/>
    <w:rsid w:val="00566EF0"/>
    <w:rsid w:val="00580EA1"/>
    <w:rsid w:val="005F1EDB"/>
    <w:rsid w:val="0060295F"/>
    <w:rsid w:val="00611942"/>
    <w:rsid w:val="00715B84"/>
    <w:rsid w:val="00775A4E"/>
    <w:rsid w:val="00805287"/>
    <w:rsid w:val="00826121"/>
    <w:rsid w:val="0082662D"/>
    <w:rsid w:val="00855E24"/>
    <w:rsid w:val="00876109"/>
    <w:rsid w:val="008A42D9"/>
    <w:rsid w:val="008C14B6"/>
    <w:rsid w:val="008C342E"/>
    <w:rsid w:val="00935E74"/>
    <w:rsid w:val="00AF424E"/>
    <w:rsid w:val="00B057BC"/>
    <w:rsid w:val="00B15CD5"/>
    <w:rsid w:val="00B35E97"/>
    <w:rsid w:val="00B41789"/>
    <w:rsid w:val="00B477B8"/>
    <w:rsid w:val="00C03727"/>
    <w:rsid w:val="00C20B99"/>
    <w:rsid w:val="00C44DCE"/>
    <w:rsid w:val="00C72DA8"/>
    <w:rsid w:val="00C749CB"/>
    <w:rsid w:val="00D437EA"/>
    <w:rsid w:val="00D44FE8"/>
    <w:rsid w:val="00DB4AC4"/>
    <w:rsid w:val="00ED72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899056D"/>
  <w15:chartTrackingRefBased/>
  <w15:docId w15:val="{E44F42DD-FD5E-4672-80EB-A5B19523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334"/>
    <w:pPr>
      <w:jc w:val="both"/>
    </w:pPr>
    <w:rPr>
      <w:rFonts w:ascii="Calibri" w:eastAsia="Calibri" w:hAnsi="Calibri"/>
      <w:sz w:val="22"/>
      <w:szCs w:val="22"/>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next w:val="Normal"/>
    <w:link w:val="TtuloCar"/>
    <w:qFormat/>
    <w:rsid w:val="00215334"/>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rsid w:val="00215334"/>
    <w:rPr>
      <w:rFonts w:ascii="Cambria" w:hAnsi="Cambria"/>
      <w:b/>
      <w:bCs/>
      <w:kern w:val="28"/>
      <w:sz w:val="32"/>
      <w:szCs w:val="32"/>
      <w:lang w:val="es-ES" w:eastAsia="en-US" w:bidi="ar-SA"/>
    </w:rPr>
  </w:style>
  <w:style w:type="paragraph" w:styleId="Textoindependiente">
    <w:name w:val="Body Text"/>
    <w:basedOn w:val="Normal"/>
    <w:link w:val="TextoindependienteCar"/>
    <w:uiPriority w:val="99"/>
    <w:unhideWhenUsed/>
    <w:rsid w:val="00215334"/>
    <w:pPr>
      <w:spacing w:after="120"/>
    </w:pPr>
  </w:style>
  <w:style w:type="character" w:customStyle="1" w:styleId="TextoindependienteCar">
    <w:name w:val="Texto independiente Car"/>
    <w:link w:val="Textoindependiente"/>
    <w:uiPriority w:val="99"/>
    <w:rsid w:val="00215334"/>
    <w:rPr>
      <w:rFonts w:ascii="Calibri" w:eastAsia="Calibri" w:hAnsi="Calibri"/>
      <w:sz w:val="22"/>
      <w:szCs w:val="22"/>
      <w:lang w:val="es-ES" w:eastAsia="en-US" w:bidi="ar-SA"/>
    </w:rPr>
  </w:style>
  <w:style w:type="table" w:styleId="Tablaconcuadrcula">
    <w:name w:val="Table Grid"/>
    <w:basedOn w:val="Tablanormal"/>
    <w:rsid w:val="0021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ED72B5"/>
    <w:pPr>
      <w:tabs>
        <w:tab w:val="center" w:pos="4252"/>
        <w:tab w:val="right" w:pos="8504"/>
      </w:tabs>
    </w:pPr>
  </w:style>
  <w:style w:type="character" w:styleId="Nmerodepgina">
    <w:name w:val="page number"/>
    <w:basedOn w:val="Fuentedeprrafopredeter"/>
    <w:rsid w:val="00ED72B5"/>
  </w:style>
  <w:style w:type="paragraph" w:customStyle="1" w:styleId="temas">
    <w:name w:val="temas"/>
    <w:basedOn w:val="Normal"/>
    <w:rsid w:val="004A0A0B"/>
    <w:pPr>
      <w:overflowPunct w:val="0"/>
      <w:autoSpaceDE w:val="0"/>
      <w:autoSpaceDN w:val="0"/>
      <w:adjustRightInd w:val="0"/>
      <w:jc w:val="left"/>
    </w:pPr>
    <w:rPr>
      <w:rFonts w:ascii="Courier New" w:eastAsia="Times New Roman" w:hAnsi="Courier New"/>
      <w:color w:val="000000"/>
      <w:szCs w:val="20"/>
      <w:lang w:val="es-ES_tradnl" w:eastAsia="es-ES"/>
    </w:rPr>
  </w:style>
  <w:style w:type="paragraph" w:styleId="NormalWeb">
    <w:name w:val="Normal (Web)"/>
    <w:basedOn w:val="Normal"/>
    <w:rsid w:val="004A0A0B"/>
    <w:pPr>
      <w:spacing w:before="100" w:beforeAutospacing="1" w:after="100" w:afterAutospacing="1"/>
    </w:pPr>
    <w:rPr>
      <w:rFonts w:ascii="Verdana" w:eastAsia="Times New Roman" w:hAnsi="Verdana"/>
      <w:sz w:val="17"/>
      <w:szCs w:val="17"/>
      <w:lang w:eastAsia="es-ES"/>
    </w:rPr>
  </w:style>
  <w:style w:type="paragraph" w:styleId="Prrafodelista">
    <w:name w:val="List Paragraph"/>
    <w:basedOn w:val="Normal"/>
    <w:uiPriority w:val="34"/>
    <w:qFormat/>
    <w:rsid w:val="008C14B6"/>
    <w:pPr>
      <w:ind w:left="708"/>
    </w:pPr>
  </w:style>
  <w:style w:type="paragraph" w:styleId="Textonotaalfinal">
    <w:name w:val="endnote text"/>
    <w:basedOn w:val="Normal"/>
    <w:link w:val="TextonotaalfinalCar"/>
    <w:rsid w:val="008C342E"/>
    <w:rPr>
      <w:sz w:val="20"/>
      <w:szCs w:val="20"/>
    </w:rPr>
  </w:style>
  <w:style w:type="character" w:customStyle="1" w:styleId="TextonotaalfinalCar">
    <w:name w:val="Texto nota al final Car"/>
    <w:link w:val="Textonotaalfinal"/>
    <w:rsid w:val="008C342E"/>
    <w:rPr>
      <w:rFonts w:ascii="Calibri" w:eastAsia="Calibri" w:hAnsi="Calibri"/>
      <w:lang w:eastAsia="en-US"/>
    </w:rPr>
  </w:style>
  <w:style w:type="character" w:styleId="Refdenotaalfinal">
    <w:name w:val="endnote reference"/>
    <w:rsid w:val="008C34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1960</Words>
  <Characters>10785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Tema 14  Hipotecario</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14  Hipotecario</dc:title>
  <dc:subject/>
  <dc:creator>agustin zuasti san julian</dc:creator>
  <cp:keywords/>
  <dc:description/>
  <cp:lastModifiedBy>Daniel Andreu</cp:lastModifiedBy>
  <cp:revision>2</cp:revision>
  <dcterms:created xsi:type="dcterms:W3CDTF">2019-05-24T15:38:00Z</dcterms:created>
  <dcterms:modified xsi:type="dcterms:W3CDTF">2019-05-24T15:38:00Z</dcterms:modified>
</cp:coreProperties>
</file>