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DD" w:rsidRPr="00DB5B8E" w:rsidRDefault="006646DD" w:rsidP="00A23093">
      <w:pPr>
        <w:jc w:val="center"/>
        <w:rPr>
          <w:rFonts w:cs="Calibri"/>
          <w:b/>
        </w:rPr>
      </w:pPr>
      <w:r w:rsidRPr="00DB5B8E">
        <w:rPr>
          <w:rFonts w:cs="Calibri"/>
          <w:b/>
        </w:rPr>
        <w:t>Tema</w:t>
      </w:r>
      <w:r w:rsidR="00A23093">
        <w:rPr>
          <w:rFonts w:cs="Calibri"/>
          <w:b/>
        </w:rPr>
        <w:t xml:space="preserve"> 12</w:t>
      </w:r>
      <w:r w:rsidRPr="00DB5B8E">
        <w:rPr>
          <w:rFonts w:cs="Calibri"/>
          <w:b/>
        </w:rPr>
        <w:t xml:space="preserve"> Hipotecario</w:t>
      </w:r>
    </w:p>
    <w:p w:rsidR="00024682" w:rsidRPr="00DB5B8E" w:rsidRDefault="00024682" w:rsidP="00A23093">
      <w:pPr>
        <w:jc w:val="center"/>
        <w:rPr>
          <w:rFonts w:cs="Calibri"/>
          <w:b/>
        </w:rPr>
      </w:pPr>
    </w:p>
    <w:p w:rsidR="006646DD" w:rsidRPr="00DB5B8E" w:rsidRDefault="006646DD" w:rsidP="00A23093">
      <w:pPr>
        <w:rPr>
          <w:rFonts w:cs="Calibri"/>
          <w:b/>
        </w:rPr>
      </w:pPr>
    </w:p>
    <w:p w:rsidR="006646DD" w:rsidRPr="00DB5B8E" w:rsidRDefault="006646DD" w:rsidP="00A23093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6646DD" w:rsidRPr="00DB5B8E">
        <w:tc>
          <w:tcPr>
            <w:tcW w:w="9494" w:type="dxa"/>
          </w:tcPr>
          <w:p w:rsidR="006646DD" w:rsidRPr="00DB5B8E" w:rsidRDefault="006646DD" w:rsidP="00A23093">
            <w:pPr>
              <w:jc w:val="center"/>
              <w:rPr>
                <w:rFonts w:cs="Calibri"/>
                <w:b/>
              </w:rPr>
            </w:pPr>
            <w:r w:rsidRPr="00DB5B8E">
              <w:rPr>
                <w:rFonts w:cs="Calibri"/>
                <w:b/>
              </w:rPr>
              <w:t>PROHIBICIONES DE DISPONER y EL RP</w:t>
            </w:r>
          </w:p>
        </w:tc>
      </w:tr>
    </w:tbl>
    <w:p w:rsidR="006646DD" w:rsidRPr="00DB5B8E" w:rsidRDefault="006646DD" w:rsidP="00A23093">
      <w:pPr>
        <w:rPr>
          <w:rFonts w:cs="Calibri"/>
        </w:rPr>
      </w:pPr>
    </w:p>
    <w:p w:rsidR="009F45E7" w:rsidRDefault="00A23093" w:rsidP="00A23093">
      <w:pPr>
        <w:rPr>
          <w:rFonts w:cs="Calibri"/>
        </w:rPr>
      </w:pPr>
      <w:r w:rsidRPr="00A23093">
        <w:rPr>
          <w:rFonts w:cs="Calibri"/>
        </w:rPr>
        <w:t>Son</w:t>
      </w:r>
      <w:r w:rsidR="006646DD" w:rsidRPr="00DB5B8E">
        <w:rPr>
          <w:rFonts w:cs="Calibri"/>
        </w:rPr>
        <w:t xml:space="preserve"> </w:t>
      </w:r>
      <w:r w:rsidR="006646DD" w:rsidRPr="00A23093">
        <w:rPr>
          <w:rFonts w:cs="Calibri"/>
        </w:rPr>
        <w:t>restricciones impuestas al ejercicio de la facultad de disponer</w:t>
      </w:r>
      <w:r w:rsidR="006C2CBD">
        <w:rPr>
          <w:rFonts w:cs="Calibri"/>
        </w:rPr>
        <w:t xml:space="preserve"> tal que</w:t>
      </w:r>
      <w:r w:rsidR="006646DD" w:rsidRPr="00A23093">
        <w:rPr>
          <w:rFonts w:cs="Calibri"/>
        </w:rPr>
        <w:t xml:space="preserve"> el titular de un dº subjetivo  no puede gravarlo, enajenarlo ni disponer de él</w:t>
      </w:r>
      <w:r w:rsidR="009F45E7">
        <w:rPr>
          <w:rFonts w:cs="Calibri"/>
        </w:rPr>
        <w:t xml:space="preserve"> (ROCA)</w:t>
      </w:r>
      <w:r w:rsidR="006646DD" w:rsidRPr="00DB5B8E">
        <w:rPr>
          <w:rFonts w:cs="Calibri"/>
        </w:rPr>
        <w:t>.</w:t>
      </w:r>
    </w:p>
    <w:p w:rsidR="009F45E7" w:rsidRDefault="009F45E7" w:rsidP="00A23093">
      <w:pPr>
        <w:rPr>
          <w:rFonts w:cs="Calibri"/>
        </w:rPr>
      </w:pPr>
    </w:p>
    <w:p w:rsidR="006646DD" w:rsidRPr="00DB5B8E" w:rsidRDefault="009F45E7" w:rsidP="00A23093">
      <w:pPr>
        <w:rPr>
          <w:rFonts w:cs="Calibri"/>
        </w:rPr>
      </w:pPr>
      <w:r>
        <w:rPr>
          <w:rFonts w:cs="Calibri"/>
        </w:rPr>
        <w:t>C</w:t>
      </w:r>
      <w:r w:rsidR="006646DD" w:rsidRPr="00DB5B8E">
        <w:rPr>
          <w:rFonts w:cs="Calibri"/>
        </w:rPr>
        <w:t>aracterísticas:</w:t>
      </w:r>
    </w:p>
    <w:p w:rsidR="006646DD" w:rsidRPr="00DB5B8E" w:rsidRDefault="006646DD" w:rsidP="00A23093">
      <w:pPr>
        <w:rPr>
          <w:rFonts w:cs="Calibri"/>
        </w:rPr>
      </w:pPr>
    </w:p>
    <w:p w:rsidR="006646DD" w:rsidRDefault="006646DD" w:rsidP="009F45E7">
      <w:pPr>
        <w:ind w:left="708"/>
        <w:rPr>
          <w:rFonts w:cs="Calibri"/>
        </w:rPr>
      </w:pPr>
      <w:r w:rsidRPr="009F45E7">
        <w:rPr>
          <w:rFonts w:cs="Calibri"/>
        </w:rPr>
        <w:t>No se presumen</w:t>
      </w:r>
      <w:r w:rsidR="006C2CBD">
        <w:rPr>
          <w:rFonts w:cs="Calibri"/>
        </w:rPr>
        <w:t>:</w:t>
      </w:r>
      <w:r w:rsidRPr="009F45E7">
        <w:rPr>
          <w:rFonts w:cs="Calibri"/>
        </w:rPr>
        <w:t xml:space="preserve"> han de ser expresas</w:t>
      </w:r>
      <w:r w:rsidR="009F45E7" w:rsidRPr="009F45E7">
        <w:rPr>
          <w:rFonts w:cs="Calibri"/>
        </w:rPr>
        <w:t xml:space="preserve"> (por ley/resolución judicial o administrativa/voluntaria) y por ello son de interpretación estricta </w:t>
      </w:r>
      <w:r w:rsidRPr="009F45E7">
        <w:rPr>
          <w:rFonts w:cs="Calibri"/>
        </w:rPr>
        <w:t>.</w:t>
      </w:r>
    </w:p>
    <w:p w:rsidR="005361DD" w:rsidRDefault="005361DD" w:rsidP="009F45E7">
      <w:pPr>
        <w:ind w:left="708"/>
        <w:rPr>
          <w:rFonts w:cs="Calibri"/>
        </w:rPr>
      </w:pPr>
    </w:p>
    <w:p w:rsidR="006646DD" w:rsidRPr="009F45E7" w:rsidRDefault="006646DD" w:rsidP="009F45E7">
      <w:pPr>
        <w:ind w:left="708"/>
        <w:rPr>
          <w:rFonts w:cs="Calibri"/>
        </w:rPr>
      </w:pPr>
      <w:r w:rsidRPr="009F45E7">
        <w:rPr>
          <w:rFonts w:cs="Calibri"/>
        </w:rPr>
        <w:t>Han de ser temporales</w:t>
      </w:r>
      <w:r w:rsidR="009F45E7">
        <w:rPr>
          <w:rFonts w:cs="Calibri"/>
        </w:rPr>
        <w:t xml:space="preserve"> (</w:t>
      </w:r>
      <w:r w:rsidRPr="009F45E7">
        <w:rPr>
          <w:rFonts w:cs="Calibri"/>
        </w:rPr>
        <w:t>no caben grav</w:t>
      </w:r>
      <w:r w:rsidR="00DB5B8E" w:rsidRPr="009F45E7">
        <w:rPr>
          <w:rFonts w:cs="Calibri"/>
        </w:rPr>
        <w:t>á</w:t>
      </w:r>
      <w:r w:rsidRPr="009F45E7">
        <w:rPr>
          <w:rFonts w:cs="Calibri"/>
        </w:rPr>
        <w:t>menes perpetuos</w:t>
      </w:r>
      <w:r w:rsidR="009F45E7">
        <w:rPr>
          <w:rFonts w:cs="Calibri"/>
        </w:rPr>
        <w:t>, TS)</w:t>
      </w:r>
      <w:r w:rsidRPr="009F45E7">
        <w:rPr>
          <w:rFonts w:cs="Calibri"/>
        </w:rPr>
        <w:t>.</w:t>
      </w:r>
    </w:p>
    <w:p w:rsidR="006646DD" w:rsidRPr="00DB5B8E" w:rsidRDefault="006646DD" w:rsidP="00A23093">
      <w:pPr>
        <w:rPr>
          <w:rFonts w:cs="Calibri"/>
          <w:b/>
        </w:rPr>
      </w:pPr>
    </w:p>
    <w:p w:rsidR="006646DD" w:rsidRPr="00DB5B8E" w:rsidRDefault="006646DD" w:rsidP="00A23093">
      <w:pPr>
        <w:rPr>
          <w:rFonts w:cs="Calibri"/>
        </w:rPr>
      </w:pPr>
      <w:r w:rsidRPr="00DB5B8E">
        <w:rPr>
          <w:rFonts w:cs="Calibri"/>
          <w:b/>
          <w:color w:val="1F497D"/>
        </w:rPr>
        <w:t>Distinción de figuras afines</w:t>
      </w:r>
      <w:r w:rsidR="009F45E7">
        <w:rPr>
          <w:rFonts w:cs="Calibri"/>
          <w:b/>
          <w:color w:val="1F497D"/>
        </w:rPr>
        <w:t>:</w:t>
      </w:r>
    </w:p>
    <w:p w:rsidR="006646DD" w:rsidRPr="00DB5B8E" w:rsidRDefault="006646DD" w:rsidP="00A23093">
      <w:pPr>
        <w:rPr>
          <w:rFonts w:cs="Calibri"/>
        </w:rPr>
      </w:pPr>
    </w:p>
    <w:p w:rsidR="00505CA8" w:rsidRDefault="00505CA8" w:rsidP="00A23093">
      <w:pPr>
        <w:ind w:left="284"/>
        <w:rPr>
          <w:rFonts w:cs="Calibri"/>
          <w:bCs/>
        </w:rPr>
      </w:pPr>
      <w:r w:rsidRPr="00505CA8">
        <w:rPr>
          <w:rFonts w:cs="Calibri"/>
          <w:b/>
        </w:rPr>
        <w:t xml:space="preserve">Con respecto a </w:t>
      </w:r>
      <w:r w:rsidR="006646DD" w:rsidRPr="00505CA8">
        <w:rPr>
          <w:rFonts w:cs="Calibri"/>
          <w:b/>
        </w:rPr>
        <w:t>la “</w:t>
      </w:r>
      <w:r w:rsidR="006646DD" w:rsidRPr="00505CA8">
        <w:rPr>
          <w:rFonts w:cs="Calibri"/>
          <w:b/>
          <w:i/>
        </w:rPr>
        <w:t>obligación de no disponer</w:t>
      </w:r>
      <w:r w:rsidR="006646DD" w:rsidRPr="00505CA8">
        <w:rPr>
          <w:rFonts w:cs="Calibri"/>
          <w:b/>
        </w:rPr>
        <w:t>”</w:t>
      </w:r>
      <w:r>
        <w:rPr>
          <w:rFonts w:cs="Calibri"/>
          <w:b/>
        </w:rPr>
        <w:t xml:space="preserve">, </w:t>
      </w:r>
      <w:r>
        <w:rPr>
          <w:rFonts w:cs="Calibri"/>
          <w:bCs/>
        </w:rPr>
        <w:t>existen 2 diferencias básicas:</w:t>
      </w:r>
    </w:p>
    <w:p w:rsidR="00505CA8" w:rsidRPr="00813279" w:rsidRDefault="00505CA8" w:rsidP="00A23093">
      <w:pPr>
        <w:ind w:left="284"/>
        <w:rPr>
          <w:rFonts w:cs="Calibri"/>
        </w:rPr>
      </w:pPr>
    </w:p>
    <w:p w:rsidR="00505CA8" w:rsidRPr="00813279" w:rsidRDefault="008F21E6" w:rsidP="00A23093">
      <w:pPr>
        <w:ind w:left="1077"/>
        <w:rPr>
          <w:rFonts w:cs="Calibri"/>
        </w:rPr>
      </w:pPr>
      <w:r w:rsidRPr="00813279">
        <w:rPr>
          <w:rFonts w:cs="Calibri"/>
        </w:rPr>
        <w:t xml:space="preserve">En </w:t>
      </w:r>
      <w:r w:rsidR="00505CA8" w:rsidRPr="00813279">
        <w:rPr>
          <w:rFonts w:cs="Calibri"/>
        </w:rPr>
        <w:t xml:space="preserve">la obligación de no disponer, </w:t>
      </w:r>
      <w:r w:rsidRPr="00813279">
        <w:rPr>
          <w:rFonts w:cs="Calibri"/>
        </w:rPr>
        <w:t xml:space="preserve">el afectado conserva íntegro el </w:t>
      </w:r>
      <w:r w:rsidRPr="00813279">
        <w:rPr>
          <w:rFonts w:cs="Calibri"/>
          <w:i/>
          <w:iCs/>
        </w:rPr>
        <w:t>ius disponendi</w:t>
      </w:r>
      <w:r w:rsidRPr="00813279">
        <w:rPr>
          <w:rFonts w:cs="Calibri"/>
        </w:rPr>
        <w:t xml:space="preserve">, con lo que el acto dispositivo que la contravenga será </w:t>
      </w:r>
      <w:r w:rsidR="00DB5B8E" w:rsidRPr="00813279">
        <w:rPr>
          <w:rFonts w:cs="Calibri"/>
        </w:rPr>
        <w:t>VALIDO</w:t>
      </w:r>
      <w:r w:rsidRPr="00813279">
        <w:rPr>
          <w:rFonts w:cs="Calibri"/>
        </w:rPr>
        <w:t>, sin perjuicio de los efectos que comporta todo incumplimiento de una obligación</w:t>
      </w:r>
      <w:r w:rsidR="00505CA8" w:rsidRPr="00813279">
        <w:rPr>
          <w:rFonts w:cs="Calibri"/>
        </w:rPr>
        <w:t xml:space="preserve"> (</w:t>
      </w:r>
      <w:r w:rsidRPr="00813279">
        <w:rPr>
          <w:rFonts w:cs="Calibri"/>
        </w:rPr>
        <w:t>indemnización daños</w:t>
      </w:r>
      <w:r w:rsidR="009F45E7" w:rsidRPr="00813279">
        <w:rPr>
          <w:rFonts w:cs="Calibri"/>
        </w:rPr>
        <w:t>/</w:t>
      </w:r>
      <w:r w:rsidRPr="00813279">
        <w:rPr>
          <w:rFonts w:cs="Calibri"/>
        </w:rPr>
        <w:t>perjuicios</w:t>
      </w:r>
      <w:r w:rsidR="00505CA8" w:rsidRPr="00813279">
        <w:rPr>
          <w:rFonts w:cs="Calibri"/>
        </w:rPr>
        <w:t>)</w:t>
      </w:r>
      <w:r w:rsidRPr="00813279">
        <w:rPr>
          <w:rFonts w:cs="Calibri"/>
        </w:rPr>
        <w:t xml:space="preserve">. En cambio </w:t>
      </w:r>
      <w:r w:rsidR="00DB5B8E" w:rsidRPr="00813279">
        <w:rPr>
          <w:rFonts w:cs="Calibri"/>
        </w:rPr>
        <w:t xml:space="preserve">en </w:t>
      </w:r>
      <w:r w:rsidRPr="00813279">
        <w:rPr>
          <w:rFonts w:cs="Calibri"/>
        </w:rPr>
        <w:t xml:space="preserve">la prohibición de disponer </w:t>
      </w:r>
      <w:r w:rsidR="00DB5B8E" w:rsidRPr="00813279">
        <w:rPr>
          <w:rFonts w:cs="Calibri"/>
        </w:rPr>
        <w:t xml:space="preserve">el afectado tiene restringidas sus facultades dispositivas, </w:t>
      </w:r>
      <w:r w:rsidRPr="00813279">
        <w:rPr>
          <w:rFonts w:cs="Calibri"/>
        </w:rPr>
        <w:t xml:space="preserve">con lo que </w:t>
      </w:r>
      <w:r w:rsidR="00505CA8" w:rsidRPr="00813279">
        <w:rPr>
          <w:rFonts w:cs="Calibri"/>
        </w:rPr>
        <w:t>el acto dispositivo que la contravenga será NULO</w:t>
      </w:r>
      <w:r w:rsidRPr="00813279">
        <w:rPr>
          <w:rFonts w:cs="Calibri"/>
        </w:rPr>
        <w:t>.</w:t>
      </w:r>
    </w:p>
    <w:p w:rsidR="00505CA8" w:rsidRPr="00813279" w:rsidRDefault="00505CA8" w:rsidP="00A23093">
      <w:pPr>
        <w:ind w:left="1077"/>
        <w:rPr>
          <w:rFonts w:cs="Calibri"/>
        </w:rPr>
      </w:pPr>
    </w:p>
    <w:p w:rsidR="00DB5B8E" w:rsidRPr="00813279" w:rsidRDefault="00505CA8" w:rsidP="00A23093">
      <w:pPr>
        <w:ind w:left="1077"/>
        <w:rPr>
          <w:rFonts w:cs="Calibri"/>
        </w:rPr>
      </w:pPr>
      <w:r w:rsidRPr="00813279">
        <w:rPr>
          <w:rFonts w:cs="Calibri"/>
        </w:rPr>
        <w:t>L</w:t>
      </w:r>
      <w:r w:rsidR="00DB5B8E" w:rsidRPr="00813279">
        <w:rPr>
          <w:rFonts w:cs="Calibri"/>
        </w:rPr>
        <w:t xml:space="preserve">a  obligación de no disponer es un pacto obligacional </w:t>
      </w:r>
      <w:r w:rsidR="009F45E7" w:rsidRPr="00813279">
        <w:rPr>
          <w:rFonts w:cs="Calibri"/>
        </w:rPr>
        <w:t>sin</w:t>
      </w:r>
      <w:r w:rsidR="00DB5B8E" w:rsidRPr="00813279">
        <w:rPr>
          <w:rFonts w:cs="Calibri"/>
        </w:rPr>
        <w:t xml:space="preserve"> transcendencia real y, por lo tanto, N</w:t>
      </w:r>
      <w:r w:rsidR="009F45E7" w:rsidRPr="00813279">
        <w:rPr>
          <w:rFonts w:cs="Calibri"/>
        </w:rPr>
        <w:t>UNCA</w:t>
      </w:r>
      <w:r w:rsidR="00DB5B8E" w:rsidRPr="00813279">
        <w:rPr>
          <w:rFonts w:cs="Calibri"/>
        </w:rPr>
        <w:t xml:space="preserve"> accede al RP (51.6 RH)</w:t>
      </w:r>
      <w:r w:rsidRPr="00813279">
        <w:rPr>
          <w:rFonts w:cs="Calibri"/>
        </w:rPr>
        <w:t>. En cambio,</w:t>
      </w:r>
      <w:r w:rsidR="00DB5B8E" w:rsidRPr="00813279">
        <w:rPr>
          <w:rFonts w:cs="Calibri"/>
        </w:rPr>
        <w:t xml:space="preserve"> determinadas prohibiciones de disponer SI tienen acceso al RP.</w:t>
      </w:r>
    </w:p>
    <w:p w:rsidR="008F21E6" w:rsidRPr="00DB5B8E" w:rsidRDefault="008F21E6" w:rsidP="00A23093">
      <w:pPr>
        <w:rPr>
          <w:rFonts w:cs="Calibri"/>
        </w:rPr>
      </w:pPr>
    </w:p>
    <w:p w:rsidR="00505CA8" w:rsidRDefault="00505CA8" w:rsidP="00A23093">
      <w:pPr>
        <w:pStyle w:val="Sangra2detindependiente"/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 respecto de las </w:t>
      </w:r>
      <w:r w:rsidR="006646DD" w:rsidRPr="00505CA8">
        <w:rPr>
          <w:rFonts w:ascii="Calibri" w:hAnsi="Calibri" w:cs="Calibri"/>
          <w:b/>
          <w:sz w:val="22"/>
          <w:szCs w:val="22"/>
        </w:rPr>
        <w:t>“</w:t>
      </w:r>
      <w:r w:rsidR="006646DD" w:rsidRPr="00505CA8">
        <w:rPr>
          <w:rFonts w:ascii="Calibri" w:hAnsi="Calibri" w:cs="Calibri"/>
          <w:b/>
          <w:i/>
          <w:sz w:val="22"/>
          <w:szCs w:val="22"/>
        </w:rPr>
        <w:t>incapacidades</w:t>
      </w:r>
      <w:r w:rsidR="006646DD" w:rsidRPr="00505CA8">
        <w:rPr>
          <w:rFonts w:ascii="Calibri" w:hAnsi="Calibri" w:cs="Calibri"/>
          <w:b/>
          <w:sz w:val="22"/>
          <w:szCs w:val="22"/>
        </w:rPr>
        <w:t>”</w:t>
      </w:r>
      <w:r w:rsidR="0068138D">
        <w:rPr>
          <w:rFonts w:ascii="Calibri" w:hAnsi="Calibri" w:cs="Calibri"/>
          <w:sz w:val="22"/>
          <w:szCs w:val="22"/>
        </w:rPr>
        <w:t>:</w:t>
      </w:r>
      <w:r w:rsidR="006646DD" w:rsidRPr="00DB5B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también existen 2 diferencias sustanciales:</w:t>
      </w:r>
    </w:p>
    <w:p w:rsidR="00505CA8" w:rsidRDefault="00505CA8" w:rsidP="00A23093">
      <w:pPr>
        <w:pStyle w:val="Sangra2detindependiente"/>
        <w:ind w:left="360" w:firstLine="0"/>
        <w:rPr>
          <w:rFonts w:ascii="Calibri" w:hAnsi="Calibri" w:cs="Calibri"/>
          <w:sz w:val="22"/>
          <w:szCs w:val="22"/>
        </w:rPr>
      </w:pPr>
    </w:p>
    <w:p w:rsidR="005E7753" w:rsidRPr="009F45E7" w:rsidRDefault="00505CA8" w:rsidP="00A23093">
      <w:pPr>
        <w:pStyle w:val="Sangra2detindependiente"/>
        <w:ind w:left="1077" w:firstLine="0"/>
        <w:rPr>
          <w:rFonts w:ascii="Calibri" w:hAnsi="Calibri" w:cs="Calibri"/>
          <w:sz w:val="22"/>
          <w:szCs w:val="22"/>
        </w:rPr>
      </w:pPr>
      <w:r w:rsidRPr="009F45E7">
        <w:rPr>
          <w:rFonts w:ascii="Calibri" w:hAnsi="Calibri" w:cs="Calibri"/>
          <w:sz w:val="22"/>
          <w:szCs w:val="22"/>
        </w:rPr>
        <w:t>La</w:t>
      </w:r>
      <w:r w:rsidR="005E7753" w:rsidRPr="009F45E7">
        <w:rPr>
          <w:rFonts w:ascii="Calibri" w:hAnsi="Calibri" w:cs="Calibri"/>
          <w:sz w:val="22"/>
          <w:szCs w:val="22"/>
        </w:rPr>
        <w:t>s</w:t>
      </w:r>
      <w:r w:rsidRPr="009F45E7">
        <w:rPr>
          <w:rFonts w:ascii="Calibri" w:hAnsi="Calibri" w:cs="Calibri"/>
          <w:sz w:val="22"/>
          <w:szCs w:val="22"/>
        </w:rPr>
        <w:t xml:space="preserve"> incapacidades se fundan </w:t>
      </w:r>
      <w:r w:rsidRPr="009F45E7">
        <w:rPr>
          <w:rFonts w:ascii="Calibri" w:hAnsi="Calibri" w:cs="Calibri"/>
          <w:i/>
          <w:iCs/>
          <w:sz w:val="22"/>
          <w:szCs w:val="22"/>
        </w:rPr>
        <w:t>en circunstancias “subjetivas</w:t>
      </w:r>
      <w:r w:rsidRPr="009F45E7">
        <w:rPr>
          <w:rFonts w:ascii="Calibri" w:hAnsi="Calibri" w:cs="Calibri"/>
          <w:sz w:val="22"/>
          <w:szCs w:val="22"/>
        </w:rPr>
        <w:t>”</w:t>
      </w:r>
      <w:r w:rsidR="009F45E7">
        <w:rPr>
          <w:rFonts w:ascii="Calibri" w:hAnsi="Calibri" w:cs="Calibri"/>
          <w:sz w:val="22"/>
          <w:szCs w:val="22"/>
        </w:rPr>
        <w:t xml:space="preserve"> </w:t>
      </w:r>
      <w:r w:rsidRPr="009F45E7">
        <w:rPr>
          <w:rFonts w:ascii="Calibri" w:hAnsi="Calibri" w:cs="Calibri"/>
          <w:sz w:val="22"/>
          <w:szCs w:val="22"/>
        </w:rPr>
        <w:t>de la persona</w:t>
      </w:r>
      <w:r w:rsidR="009F45E7" w:rsidRPr="009F45E7">
        <w:rPr>
          <w:rFonts w:ascii="Calibri" w:hAnsi="Calibri" w:cs="Calibri"/>
          <w:sz w:val="22"/>
          <w:szCs w:val="22"/>
        </w:rPr>
        <w:t xml:space="preserve"> y</w:t>
      </w:r>
      <w:r w:rsidRPr="009F45E7">
        <w:rPr>
          <w:rFonts w:ascii="Calibri" w:hAnsi="Calibri" w:cs="Calibri"/>
          <w:sz w:val="22"/>
          <w:szCs w:val="22"/>
        </w:rPr>
        <w:t xml:space="preserve"> las prohibiciones de disponer tienen carácter “</w:t>
      </w:r>
      <w:r w:rsidRPr="009F45E7">
        <w:rPr>
          <w:rFonts w:ascii="Calibri" w:hAnsi="Calibri" w:cs="Calibri"/>
          <w:i/>
          <w:iCs/>
          <w:sz w:val="22"/>
          <w:szCs w:val="22"/>
        </w:rPr>
        <w:t>objetivo</w:t>
      </w:r>
      <w:r w:rsidRPr="009F45E7">
        <w:rPr>
          <w:rFonts w:ascii="Calibri" w:hAnsi="Calibri" w:cs="Calibri"/>
          <w:sz w:val="22"/>
          <w:szCs w:val="22"/>
        </w:rPr>
        <w:t xml:space="preserve">” </w:t>
      </w:r>
    </w:p>
    <w:p w:rsidR="005E7753" w:rsidRDefault="005E7753" w:rsidP="00A23093">
      <w:pPr>
        <w:pStyle w:val="Sangra2detindependiente"/>
        <w:ind w:left="1077" w:firstLine="0"/>
        <w:rPr>
          <w:rFonts w:ascii="Calibri" w:hAnsi="Calibri" w:cs="Calibri"/>
          <w:sz w:val="22"/>
          <w:szCs w:val="22"/>
        </w:rPr>
      </w:pPr>
    </w:p>
    <w:p w:rsidR="0068138D" w:rsidRPr="00813279" w:rsidRDefault="005E7753" w:rsidP="00A23093">
      <w:pPr>
        <w:pStyle w:val="Sangra2detindependiente"/>
        <w:ind w:left="1077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68138D" w:rsidRPr="005E7753">
        <w:rPr>
          <w:rFonts w:ascii="Calibri" w:hAnsi="Calibri" w:cs="Calibri"/>
          <w:sz w:val="22"/>
          <w:szCs w:val="22"/>
        </w:rPr>
        <w:t xml:space="preserve">l acto </w:t>
      </w:r>
      <w:r>
        <w:rPr>
          <w:rFonts w:ascii="Calibri" w:hAnsi="Calibri" w:cs="Calibri"/>
          <w:sz w:val="22"/>
          <w:szCs w:val="22"/>
        </w:rPr>
        <w:t xml:space="preserve">dispositivo </w:t>
      </w:r>
      <w:r w:rsidR="009F45E7">
        <w:rPr>
          <w:rFonts w:ascii="Calibri" w:hAnsi="Calibri" w:cs="Calibri"/>
          <w:sz w:val="22"/>
          <w:szCs w:val="22"/>
        </w:rPr>
        <w:t>de</w:t>
      </w:r>
      <w:r w:rsidR="0068138D" w:rsidRPr="005E7753">
        <w:rPr>
          <w:rFonts w:ascii="Calibri" w:hAnsi="Calibri" w:cs="Calibri"/>
          <w:sz w:val="22"/>
          <w:szCs w:val="22"/>
        </w:rPr>
        <w:t xml:space="preserve"> un incapaz normalmente </w:t>
      </w:r>
      <w:r w:rsidR="0068138D" w:rsidRPr="00813279">
        <w:rPr>
          <w:rFonts w:ascii="Calibri" w:hAnsi="Calibri" w:cs="Calibri"/>
          <w:i/>
          <w:sz w:val="22"/>
          <w:szCs w:val="22"/>
        </w:rPr>
        <w:t>es anulable</w:t>
      </w:r>
      <w:r w:rsidR="0068138D" w:rsidRPr="00813279">
        <w:rPr>
          <w:rFonts w:ascii="Calibri" w:hAnsi="Calibri" w:cs="Calibri"/>
          <w:sz w:val="22"/>
          <w:szCs w:val="22"/>
        </w:rPr>
        <w:t xml:space="preserve"> (salvo</w:t>
      </w:r>
      <w:r w:rsidR="009F45E7" w:rsidRPr="00813279">
        <w:rPr>
          <w:rFonts w:ascii="Calibri" w:hAnsi="Calibri" w:cs="Calibri"/>
          <w:sz w:val="22"/>
          <w:szCs w:val="22"/>
        </w:rPr>
        <w:t xml:space="preserve"> </w:t>
      </w:r>
      <w:r w:rsidR="0068138D" w:rsidRPr="00813279">
        <w:rPr>
          <w:rFonts w:ascii="Calibri" w:hAnsi="Calibri" w:cs="Calibri"/>
          <w:sz w:val="22"/>
          <w:szCs w:val="22"/>
        </w:rPr>
        <w:t>falta de capacidad natural, en cuyo caso el acto será nulo).</w:t>
      </w:r>
      <w:r w:rsidRPr="00813279">
        <w:rPr>
          <w:rFonts w:ascii="Calibri" w:hAnsi="Calibri" w:cs="Calibri"/>
          <w:sz w:val="22"/>
          <w:szCs w:val="22"/>
        </w:rPr>
        <w:t xml:space="preserve"> En cambio, </w:t>
      </w:r>
      <w:r w:rsidR="0068138D" w:rsidRPr="00813279">
        <w:rPr>
          <w:rFonts w:ascii="Calibri" w:hAnsi="Calibri" w:cs="Calibri"/>
          <w:sz w:val="22"/>
          <w:szCs w:val="22"/>
        </w:rPr>
        <w:t xml:space="preserve">el acto efectuado contra una </w:t>
      </w:r>
      <w:r w:rsidR="009F45E7" w:rsidRPr="00813279">
        <w:rPr>
          <w:rFonts w:ascii="Calibri" w:hAnsi="Calibri" w:cs="Calibri"/>
          <w:sz w:val="22"/>
          <w:szCs w:val="22"/>
        </w:rPr>
        <w:t>PD</w:t>
      </w:r>
      <w:r w:rsidR="0068138D" w:rsidRPr="00813279">
        <w:rPr>
          <w:rFonts w:ascii="Calibri" w:hAnsi="Calibri" w:cs="Calibri"/>
          <w:sz w:val="22"/>
          <w:szCs w:val="22"/>
        </w:rPr>
        <w:t xml:space="preserve"> </w:t>
      </w:r>
      <w:r w:rsidR="0068138D" w:rsidRPr="00813279">
        <w:rPr>
          <w:rFonts w:ascii="Calibri" w:hAnsi="Calibri" w:cs="Calibri"/>
          <w:i/>
          <w:sz w:val="22"/>
          <w:szCs w:val="22"/>
        </w:rPr>
        <w:t>normalmente es nulo de pleno dº</w:t>
      </w:r>
      <w:r w:rsidR="0068138D" w:rsidRPr="00813279">
        <w:rPr>
          <w:rFonts w:ascii="Calibri" w:hAnsi="Calibri" w:cs="Calibri"/>
          <w:sz w:val="22"/>
          <w:szCs w:val="22"/>
        </w:rPr>
        <w:t xml:space="preserve"> (</w:t>
      </w:r>
      <w:r w:rsidR="00D8538D" w:rsidRPr="00813279">
        <w:rPr>
          <w:rFonts w:ascii="Calibri" w:hAnsi="Calibri" w:cs="Calibri"/>
          <w:sz w:val="22"/>
          <w:szCs w:val="22"/>
        </w:rPr>
        <w:t>6.3 Cc)</w:t>
      </w:r>
      <w:r w:rsidRPr="00813279">
        <w:rPr>
          <w:rFonts w:ascii="Calibri" w:hAnsi="Calibri" w:cs="Calibri"/>
          <w:sz w:val="22"/>
          <w:szCs w:val="22"/>
        </w:rPr>
        <w:t>.</w:t>
      </w:r>
    </w:p>
    <w:p w:rsidR="0068138D" w:rsidRPr="00813279" w:rsidRDefault="0068138D" w:rsidP="00A23093">
      <w:pPr>
        <w:pStyle w:val="Sangra2detindependiente"/>
        <w:ind w:left="360" w:firstLine="0"/>
        <w:rPr>
          <w:rFonts w:ascii="Calibri" w:hAnsi="Calibri" w:cs="Calibri"/>
          <w:sz w:val="22"/>
          <w:szCs w:val="22"/>
        </w:rPr>
      </w:pPr>
    </w:p>
    <w:p w:rsidR="005E7753" w:rsidRDefault="009F45E7" w:rsidP="009F45E7">
      <w:pPr>
        <w:ind w:left="284"/>
        <w:rPr>
          <w:rFonts w:cs="Arial"/>
        </w:rPr>
      </w:pPr>
      <w:r>
        <w:rPr>
          <w:rFonts w:cs="Calibri"/>
          <w:b/>
        </w:rPr>
        <w:t xml:space="preserve">Inexistencia ex lege </w:t>
      </w:r>
      <w:r>
        <w:rPr>
          <w:rFonts w:cs="Arial"/>
          <w:b/>
          <w:bCs/>
          <w:sz w:val="24"/>
          <w:szCs w:val="24"/>
        </w:rPr>
        <w:t xml:space="preserve">de </w:t>
      </w:r>
      <w:r w:rsidR="005E7753" w:rsidRPr="006C2CBD">
        <w:rPr>
          <w:rFonts w:eastAsia="Times New Roman" w:cs="Calibri"/>
          <w:lang w:eastAsia="es-ES"/>
        </w:rPr>
        <w:t>ius disponendi</w:t>
      </w:r>
      <w:r w:rsidR="00D8538D" w:rsidRPr="006C2CBD">
        <w:rPr>
          <w:rFonts w:eastAsia="Times New Roman" w:cs="Calibri"/>
          <w:lang w:eastAsia="es-ES"/>
        </w:rPr>
        <w:t xml:space="preserve"> (normalmente, por la propia naturaleza del derecho). Vg</w:t>
      </w:r>
      <w:r w:rsidR="005E7753" w:rsidRPr="006C2CBD">
        <w:rPr>
          <w:rFonts w:eastAsia="Times New Roman" w:cs="Calibri"/>
          <w:lang w:eastAsia="es-ES"/>
        </w:rPr>
        <w:t xml:space="preserve"> d</w:t>
      </w:r>
      <w:r w:rsidR="00D8538D" w:rsidRPr="006C2CBD">
        <w:rPr>
          <w:rFonts w:eastAsia="Times New Roman" w:cs="Calibri"/>
          <w:lang w:eastAsia="es-ES"/>
        </w:rPr>
        <w:t>erechos</w:t>
      </w:r>
      <w:r w:rsidR="005E7753" w:rsidRPr="006C2CBD">
        <w:rPr>
          <w:rFonts w:eastAsia="Times New Roman" w:cs="Calibri"/>
          <w:lang w:eastAsia="es-ES"/>
        </w:rPr>
        <w:t xml:space="preserve"> de la personalidad, uso</w:t>
      </w:r>
      <w:r w:rsidRPr="006C2CBD">
        <w:rPr>
          <w:rFonts w:eastAsia="Times New Roman" w:cs="Calibri"/>
          <w:lang w:eastAsia="es-ES"/>
        </w:rPr>
        <w:t>/</w:t>
      </w:r>
      <w:r w:rsidR="005E7753" w:rsidRPr="006C2CBD">
        <w:rPr>
          <w:rFonts w:eastAsia="Times New Roman" w:cs="Calibri"/>
          <w:lang w:eastAsia="es-ES"/>
        </w:rPr>
        <w:t>habitación</w:t>
      </w:r>
      <w:r w:rsidRPr="006C2CBD">
        <w:rPr>
          <w:rFonts w:eastAsia="Times New Roman" w:cs="Calibri"/>
          <w:lang w:eastAsia="es-ES"/>
        </w:rPr>
        <w:t xml:space="preserve"> </w:t>
      </w:r>
      <w:r w:rsidR="00D8538D" w:rsidRPr="006C2CBD">
        <w:rPr>
          <w:rFonts w:eastAsia="Times New Roman" w:cs="Calibri"/>
          <w:lang w:eastAsia="es-ES"/>
        </w:rPr>
        <w:t xml:space="preserve">(interpretación 525 Cc, </w:t>
      </w:r>
      <w:r w:rsidRPr="006C2CBD">
        <w:rPr>
          <w:rFonts w:eastAsia="Times New Roman" w:cs="Calibri"/>
          <w:lang w:eastAsia="es-ES"/>
        </w:rPr>
        <w:t>REMISIÓN</w:t>
      </w:r>
      <w:r w:rsidR="00D8538D" w:rsidRPr="006C2CBD">
        <w:rPr>
          <w:rFonts w:eastAsia="Times New Roman" w:cs="Calibri"/>
          <w:lang w:eastAsia="es-ES"/>
        </w:rPr>
        <w:t>)</w:t>
      </w:r>
      <w:r w:rsidR="005E7753" w:rsidRPr="006C2CBD">
        <w:rPr>
          <w:rFonts w:eastAsia="Times New Roman" w:cs="Calibri"/>
          <w:lang w:eastAsia="es-ES"/>
        </w:rPr>
        <w:t>. En esto</w:t>
      </w:r>
      <w:r w:rsidR="005E7753" w:rsidRPr="005E7753">
        <w:rPr>
          <w:rFonts w:cs="Arial"/>
        </w:rPr>
        <w:t>s casos, no hay restricción a la facultad de disponer</w:t>
      </w:r>
      <w:r w:rsidR="006C2CBD">
        <w:rPr>
          <w:rFonts w:cs="Arial"/>
        </w:rPr>
        <w:t xml:space="preserve">: </w:t>
      </w:r>
      <w:r w:rsidR="005E7753" w:rsidRPr="005E7753">
        <w:rPr>
          <w:rFonts w:cs="Arial"/>
        </w:rPr>
        <w:t>simplemente el ius disponendi no existe.</w:t>
      </w:r>
      <w:r w:rsidR="005E7753">
        <w:rPr>
          <w:rFonts w:cs="Arial"/>
        </w:rPr>
        <w:t xml:space="preserve"> </w:t>
      </w:r>
    </w:p>
    <w:p w:rsidR="00DB5B8E" w:rsidRDefault="00DB5B8E" w:rsidP="00A23093">
      <w:pPr>
        <w:rPr>
          <w:rFonts w:cs="Calibri"/>
          <w:b/>
          <w:u w:val="single"/>
        </w:rPr>
      </w:pPr>
    </w:p>
    <w:p w:rsidR="005361DD" w:rsidRDefault="00024682" w:rsidP="00A23093">
      <w:pPr>
        <w:rPr>
          <w:rFonts w:cs="Calibri"/>
        </w:rPr>
      </w:pPr>
      <w:r w:rsidRPr="006A595A">
        <w:rPr>
          <w:rFonts w:cs="Calibri"/>
          <w:b/>
          <w:color w:val="1F497D"/>
        </w:rPr>
        <w:t>Clases.-</w:t>
      </w:r>
      <w:r w:rsidRPr="00DB5B8E">
        <w:rPr>
          <w:rFonts w:cs="Calibri"/>
          <w:b/>
        </w:rPr>
        <w:t xml:space="preserve"> </w:t>
      </w:r>
      <w:r w:rsidRPr="00DB5B8E">
        <w:rPr>
          <w:rFonts w:cs="Calibri"/>
        </w:rPr>
        <w:t xml:space="preserve">LEGALES, </w:t>
      </w:r>
      <w:r w:rsidR="00D63756">
        <w:rPr>
          <w:rFonts w:cs="Calibri"/>
        </w:rPr>
        <w:t>JUDICIALES/ADMTVAS (“procesales”</w:t>
      </w:r>
      <w:r w:rsidR="005361DD">
        <w:rPr>
          <w:rFonts w:cs="Calibri"/>
        </w:rPr>
        <w:t xml:space="preserve">, </w:t>
      </w:r>
      <w:r w:rsidR="00D63756">
        <w:rPr>
          <w:rFonts w:cs="Calibri"/>
        </w:rPr>
        <w:t xml:space="preserve">en terminología de </w:t>
      </w:r>
      <w:r w:rsidR="005361DD">
        <w:rPr>
          <w:rFonts w:cs="Calibri"/>
        </w:rPr>
        <w:t xml:space="preserve">GOMEZ GÁLLIGO) </w:t>
      </w:r>
      <w:r w:rsidRPr="00DB5B8E">
        <w:rPr>
          <w:rFonts w:cs="Calibri"/>
        </w:rPr>
        <w:t xml:space="preserve">y VOLUNTARIAS. </w:t>
      </w:r>
    </w:p>
    <w:p w:rsidR="005361DD" w:rsidRDefault="005361DD" w:rsidP="00A23093">
      <w:pPr>
        <w:rPr>
          <w:rFonts w:cs="Calibri"/>
        </w:rPr>
      </w:pPr>
    </w:p>
    <w:p w:rsidR="00024682" w:rsidRPr="00DB5B8E" w:rsidRDefault="00024682" w:rsidP="005361DD">
      <w:pPr>
        <w:rPr>
          <w:rFonts w:cs="Calibri"/>
        </w:rPr>
      </w:pPr>
      <w:r w:rsidRPr="00DB5B8E">
        <w:rPr>
          <w:rFonts w:cs="Calibri"/>
        </w:rPr>
        <w:t xml:space="preserve"> </w:t>
      </w:r>
      <w:r w:rsidR="006A595A">
        <w:rPr>
          <w:rFonts w:cs="Calibri"/>
          <w:b/>
        </w:rPr>
        <w:t>A</w:t>
      </w:r>
      <w:r w:rsidRPr="00DB5B8E">
        <w:rPr>
          <w:rFonts w:cs="Calibri"/>
          <w:b/>
        </w:rPr>
        <w:t xml:space="preserve">rt 26 LH </w:t>
      </w:r>
      <w:r w:rsidRPr="00DB5B8E">
        <w:rPr>
          <w:rFonts w:cs="Calibri"/>
          <w:b/>
          <w:i/>
          <w:color w:val="7F7F7F"/>
        </w:rPr>
        <w:t>Las prohibiciones de disponer o enajenar se harán constar en el RP y producirán efecto con arreglo a las siguientes normas:</w:t>
      </w:r>
    </w:p>
    <w:p w:rsidR="00024682" w:rsidRPr="00DB5B8E" w:rsidRDefault="00024682" w:rsidP="00A23093">
      <w:pPr>
        <w:rPr>
          <w:rFonts w:cs="Calibri"/>
          <w:i/>
        </w:rPr>
      </w:pPr>
    </w:p>
    <w:p w:rsidR="006A595A" w:rsidRDefault="00024682" w:rsidP="005361DD">
      <w:pPr>
        <w:ind w:left="708"/>
        <w:rPr>
          <w:rFonts w:cs="Calibri"/>
          <w:b/>
          <w:i/>
          <w:color w:val="7F7F7F"/>
        </w:rPr>
      </w:pPr>
      <w:r w:rsidRPr="00DB5B8E">
        <w:rPr>
          <w:rFonts w:cs="Calibri"/>
          <w:b/>
          <w:i/>
          <w:color w:val="7F7F7F"/>
        </w:rPr>
        <w:t xml:space="preserve">1ª.- </w:t>
      </w:r>
      <w:r w:rsidRPr="00DB5B8E">
        <w:rPr>
          <w:rFonts w:cs="Calibri"/>
          <w:b/>
          <w:i/>
          <w:color w:val="7F7F7F"/>
          <w:u w:val="single"/>
        </w:rPr>
        <w:t xml:space="preserve">Las establecidas por </w:t>
      </w:r>
      <w:smartTag w:uri="urn:schemas-microsoft-com:office:smarttags" w:element="PersonName">
        <w:smartTagPr>
          <w:attr w:name="ProductID" w:val="la Ley"/>
        </w:smartTagPr>
        <w:r w:rsidRPr="00DB5B8E">
          <w:rPr>
            <w:rFonts w:cs="Calibri"/>
            <w:b/>
            <w:i/>
            <w:color w:val="7F7F7F"/>
            <w:u w:val="single"/>
          </w:rPr>
          <w:t>la Ley</w:t>
        </w:r>
      </w:smartTag>
      <w:r w:rsidRPr="00DB5B8E">
        <w:rPr>
          <w:rFonts w:cs="Calibri"/>
          <w:b/>
          <w:i/>
          <w:color w:val="7F7F7F"/>
        </w:rPr>
        <w:t xml:space="preserve"> que, sin expresa declaración judicial o administrativa, tengan plena eficacia jurídica, no necesitarán inscripción separada y especial y surtirán sus efectos como limitaciones legales del dominio.</w:t>
      </w:r>
    </w:p>
    <w:p w:rsidR="006A595A" w:rsidRDefault="006A595A" w:rsidP="005361DD">
      <w:pPr>
        <w:ind w:left="708"/>
        <w:rPr>
          <w:rFonts w:cs="Calibri"/>
          <w:b/>
          <w:i/>
          <w:color w:val="7F7F7F"/>
        </w:rPr>
      </w:pPr>
    </w:p>
    <w:p w:rsidR="006A595A" w:rsidRDefault="00024682" w:rsidP="005361DD">
      <w:pPr>
        <w:ind w:left="708"/>
        <w:rPr>
          <w:rFonts w:cs="Calibri"/>
          <w:b/>
          <w:i/>
          <w:color w:val="7F7F7F"/>
        </w:rPr>
      </w:pPr>
      <w:r w:rsidRPr="00DB5B8E">
        <w:rPr>
          <w:rFonts w:cs="Calibri"/>
          <w:b/>
          <w:i/>
          <w:color w:val="7F7F7F"/>
        </w:rPr>
        <w:lastRenderedPageBreak/>
        <w:t xml:space="preserve">2ª.- </w:t>
      </w:r>
      <w:r w:rsidRPr="00DB5B8E">
        <w:rPr>
          <w:rFonts w:cs="Calibri"/>
          <w:b/>
          <w:i/>
          <w:color w:val="7F7F7F"/>
          <w:u w:val="single"/>
        </w:rPr>
        <w:t>Las que deban su origen inmediato a alguna resolución judicial o administrativa</w:t>
      </w:r>
      <w:r w:rsidRPr="00DB5B8E">
        <w:rPr>
          <w:rFonts w:cs="Calibri"/>
          <w:b/>
          <w:i/>
          <w:color w:val="7F7F7F"/>
        </w:rPr>
        <w:t xml:space="preserve"> serán objeto de “</w:t>
      </w:r>
      <w:r w:rsidRPr="00DB5B8E">
        <w:rPr>
          <w:rFonts w:cs="Calibri"/>
          <w:b/>
          <w:color w:val="7F7F7F"/>
        </w:rPr>
        <w:t>anotación preventiva”</w:t>
      </w:r>
      <w:r w:rsidRPr="00DB5B8E">
        <w:rPr>
          <w:rFonts w:cs="Calibri"/>
          <w:b/>
          <w:i/>
          <w:color w:val="7F7F7F"/>
        </w:rPr>
        <w:t>.</w:t>
      </w:r>
    </w:p>
    <w:p w:rsidR="006A595A" w:rsidRDefault="006A595A" w:rsidP="005361DD">
      <w:pPr>
        <w:ind w:left="708"/>
        <w:rPr>
          <w:rFonts w:cs="Calibri"/>
          <w:b/>
          <w:i/>
          <w:color w:val="7F7F7F"/>
        </w:rPr>
      </w:pPr>
    </w:p>
    <w:p w:rsidR="00024682" w:rsidRPr="00DB5B8E" w:rsidRDefault="00024682" w:rsidP="005361DD">
      <w:pPr>
        <w:ind w:left="708"/>
        <w:rPr>
          <w:rFonts w:cs="Calibri"/>
          <w:b/>
          <w:i/>
          <w:color w:val="7F7F7F"/>
        </w:rPr>
      </w:pPr>
      <w:r w:rsidRPr="00DB5B8E">
        <w:rPr>
          <w:rFonts w:cs="Calibri"/>
          <w:b/>
          <w:i/>
          <w:color w:val="7F7F7F"/>
        </w:rPr>
        <w:t xml:space="preserve">3ª.- </w:t>
      </w:r>
      <w:r w:rsidRPr="00DB5B8E">
        <w:rPr>
          <w:rFonts w:cs="Calibri"/>
          <w:b/>
          <w:i/>
          <w:color w:val="7F7F7F"/>
          <w:u w:val="single"/>
        </w:rPr>
        <w:t>Las impuestas por el testador o donante en actos o disposiciones de última voluntad, capitulaciones matrimoniales, donaciones y demás actos a título gratuito</w:t>
      </w:r>
      <w:r w:rsidRPr="00DB5B8E">
        <w:rPr>
          <w:rFonts w:cs="Calibri"/>
          <w:b/>
          <w:i/>
          <w:color w:val="7F7F7F"/>
        </w:rPr>
        <w:t>, serán inscribibles siempre que la legislación vigente reconozca su validez.</w:t>
      </w:r>
    </w:p>
    <w:p w:rsidR="00024682" w:rsidRPr="00DB5B8E" w:rsidRDefault="00024682" w:rsidP="005361DD">
      <w:pPr>
        <w:rPr>
          <w:rFonts w:cs="Calibri"/>
          <w:b/>
          <w:i/>
          <w:color w:val="7F7F7F"/>
        </w:rPr>
      </w:pPr>
    </w:p>
    <w:p w:rsidR="00024682" w:rsidRPr="00DB5B8E" w:rsidRDefault="00024682" w:rsidP="005361DD">
      <w:pPr>
        <w:rPr>
          <w:rFonts w:cs="Calibri"/>
          <w:b/>
          <w:i/>
          <w:color w:val="7F7F7F"/>
        </w:rPr>
      </w:pPr>
      <w:r w:rsidRPr="00DB5B8E">
        <w:rPr>
          <w:rFonts w:cs="Calibri"/>
          <w:b/>
        </w:rPr>
        <w:t>Art 27 LH</w:t>
      </w:r>
      <w:r w:rsidRPr="00DB5B8E">
        <w:rPr>
          <w:rFonts w:cs="Calibri"/>
        </w:rPr>
        <w:t xml:space="preserve"> </w:t>
      </w:r>
      <w:r w:rsidRPr="00DB5B8E">
        <w:rPr>
          <w:rFonts w:cs="Calibri"/>
          <w:b/>
          <w:i/>
          <w:color w:val="7F7F7F"/>
          <w:u w:val="single"/>
        </w:rPr>
        <w:t>Las prohibiciones de disponer que tengan su origen en actos o contratos de los no comprendidos en el artículo anterior</w:t>
      </w:r>
      <w:r w:rsidRPr="00DB5B8E">
        <w:rPr>
          <w:rFonts w:cs="Calibri"/>
          <w:b/>
          <w:i/>
          <w:color w:val="7F7F7F"/>
        </w:rPr>
        <w:t xml:space="preserve"> </w:t>
      </w:r>
      <w:r w:rsidRPr="00DB5B8E">
        <w:rPr>
          <w:rFonts w:cs="Calibri"/>
          <w:color w:val="000000"/>
        </w:rPr>
        <w:t>(es decir</w:t>
      </w:r>
      <w:r w:rsidR="005361DD">
        <w:rPr>
          <w:rFonts w:cs="Calibri"/>
          <w:color w:val="000000"/>
        </w:rPr>
        <w:t>,</w:t>
      </w:r>
      <w:r w:rsidRPr="00DB5B8E">
        <w:rPr>
          <w:rFonts w:cs="Calibri"/>
          <w:color w:val="000000"/>
        </w:rPr>
        <w:t xml:space="preserve"> a título oneroso)</w:t>
      </w:r>
      <w:r w:rsidRPr="00DB5B8E">
        <w:rPr>
          <w:rFonts w:cs="Calibri"/>
          <w:b/>
          <w:i/>
          <w:color w:val="7F7F7F"/>
        </w:rPr>
        <w:t xml:space="preserve"> NO tendrán acceso al RP sin perjuicio que mediante hipoteca o cualquier otra forma de garantía real se asegure su cumplimiento.</w:t>
      </w:r>
    </w:p>
    <w:p w:rsidR="00024682" w:rsidRDefault="00024682" w:rsidP="00A23093">
      <w:pPr>
        <w:ind w:left="454"/>
        <w:rPr>
          <w:rFonts w:cs="Calibri"/>
        </w:rPr>
      </w:pPr>
    </w:p>
    <w:p w:rsidR="005361DD" w:rsidRDefault="00024682" w:rsidP="005361DD">
      <w:pPr>
        <w:jc w:val="center"/>
        <w:rPr>
          <w:rFonts w:cs="Calibri"/>
          <w:b/>
          <w:color w:val="548DD4"/>
        </w:rPr>
      </w:pPr>
      <w:r w:rsidRPr="006A595A">
        <w:rPr>
          <w:rFonts w:cs="Calibri"/>
          <w:b/>
          <w:color w:val="548DD4"/>
        </w:rPr>
        <w:t xml:space="preserve">Prohibiciones </w:t>
      </w:r>
      <w:r w:rsidR="000539FA">
        <w:rPr>
          <w:rFonts w:cs="Calibri"/>
          <w:b/>
          <w:color w:val="548DD4"/>
        </w:rPr>
        <w:t>LEGALES</w:t>
      </w:r>
    </w:p>
    <w:p w:rsidR="005361DD" w:rsidRDefault="005361DD" w:rsidP="00A23093">
      <w:pPr>
        <w:rPr>
          <w:rFonts w:cs="Calibri"/>
          <w:b/>
          <w:color w:val="548DD4"/>
        </w:rPr>
      </w:pPr>
    </w:p>
    <w:p w:rsidR="00691E02" w:rsidRDefault="00691E02" w:rsidP="00A23093">
      <w:pPr>
        <w:rPr>
          <w:rFonts w:cs="Calibri"/>
        </w:rPr>
      </w:pPr>
      <w:r>
        <w:rPr>
          <w:rFonts w:cs="Calibri"/>
        </w:rPr>
        <w:t>“</w:t>
      </w:r>
      <w:r w:rsidRPr="00691E02">
        <w:rPr>
          <w:rFonts w:cs="Calibri"/>
          <w:b/>
        </w:rPr>
        <w:t>Ley</w:t>
      </w:r>
      <w:r>
        <w:rPr>
          <w:rFonts w:cs="Calibri"/>
        </w:rPr>
        <w:t>”, precisa norma con tal rango</w:t>
      </w:r>
    </w:p>
    <w:p w:rsidR="00691E02" w:rsidRDefault="00691E02" w:rsidP="00A23093">
      <w:pPr>
        <w:rPr>
          <w:rFonts w:cs="Calibri"/>
        </w:rPr>
      </w:pPr>
    </w:p>
    <w:p w:rsidR="00EF59AA" w:rsidRPr="00DB5B8E" w:rsidRDefault="00691E02" w:rsidP="00691E02">
      <w:pPr>
        <w:rPr>
          <w:rFonts w:cs="Calibri"/>
        </w:rPr>
      </w:pPr>
      <w:r>
        <w:rPr>
          <w:rFonts w:cs="Calibri"/>
        </w:rPr>
        <w:t>“</w:t>
      </w:r>
      <w:r w:rsidR="00024682" w:rsidRPr="00691E02">
        <w:rPr>
          <w:rFonts w:cs="Calibri"/>
          <w:b/>
        </w:rPr>
        <w:t>NO necesita</w:t>
      </w:r>
      <w:r w:rsidRPr="00691E02">
        <w:rPr>
          <w:rFonts w:cs="Calibri"/>
          <w:b/>
        </w:rPr>
        <w:t>rá</w:t>
      </w:r>
      <w:r w:rsidR="00024682" w:rsidRPr="00691E02">
        <w:rPr>
          <w:rFonts w:cs="Calibri"/>
          <w:b/>
        </w:rPr>
        <w:t xml:space="preserve">n </w:t>
      </w:r>
      <w:r w:rsidR="005361DD" w:rsidRPr="00691E02">
        <w:rPr>
          <w:rFonts w:cs="Calibri"/>
          <w:b/>
        </w:rPr>
        <w:t>inscripción</w:t>
      </w:r>
      <w:r>
        <w:rPr>
          <w:rFonts w:cs="Calibri"/>
        </w:rPr>
        <w:t>”,</w:t>
      </w:r>
      <w:r w:rsidR="005361DD">
        <w:rPr>
          <w:rFonts w:cs="Calibri"/>
        </w:rPr>
        <w:t xml:space="preserve"> por</w:t>
      </w:r>
      <w:r w:rsidR="00024682" w:rsidRPr="00DB5B8E">
        <w:rPr>
          <w:rFonts w:cs="Calibri"/>
        </w:rPr>
        <w:t xml:space="preserve">que la publicidad que les brinda </w:t>
      </w:r>
      <w:smartTag w:uri="urn:schemas-microsoft-com:office:smarttags" w:element="PersonName">
        <w:smartTagPr>
          <w:attr w:name="ProductID" w:val="la Ley"/>
        </w:smartTagPr>
        <w:r w:rsidR="00024682" w:rsidRPr="00DB5B8E">
          <w:rPr>
            <w:rFonts w:cs="Calibri"/>
          </w:rPr>
          <w:t>la Ley</w:t>
        </w:r>
      </w:smartTag>
      <w:r w:rsidR="00024682" w:rsidRPr="00DB5B8E">
        <w:rPr>
          <w:rFonts w:cs="Calibri"/>
        </w:rPr>
        <w:t xml:space="preserve"> es superior. </w:t>
      </w:r>
      <w:r>
        <w:rPr>
          <w:rFonts w:cs="Calibri"/>
        </w:rPr>
        <w:t>Q</w:t>
      </w:r>
      <w:r w:rsidR="00EF59AA" w:rsidRPr="00DB5B8E">
        <w:rPr>
          <w:rFonts w:cs="Calibri"/>
        </w:rPr>
        <w:t xml:space="preserve">ue no deban inscribirse, </w:t>
      </w:r>
      <w:r w:rsidR="00EF59AA" w:rsidRPr="00DB5B8E">
        <w:rPr>
          <w:rFonts w:cs="Calibri"/>
          <w:u w:val="single"/>
        </w:rPr>
        <w:t>no implica que no puedan inscribirse</w:t>
      </w:r>
      <w:r w:rsidR="00EF59AA" w:rsidRPr="00DB5B8E">
        <w:rPr>
          <w:rFonts w:cs="Calibri"/>
        </w:rPr>
        <w:t xml:space="preserve">, como sucede </w:t>
      </w:r>
      <w:r w:rsidR="006A595A">
        <w:rPr>
          <w:rFonts w:cs="Calibri"/>
        </w:rPr>
        <w:t xml:space="preserve">con las </w:t>
      </w:r>
      <w:r>
        <w:rPr>
          <w:rFonts w:cs="Calibri"/>
        </w:rPr>
        <w:t>PD</w:t>
      </w:r>
      <w:r w:rsidR="006A595A">
        <w:rPr>
          <w:rFonts w:cs="Calibri"/>
        </w:rPr>
        <w:t xml:space="preserve"> </w:t>
      </w:r>
      <w:r w:rsidR="00EF59AA" w:rsidRPr="00DB5B8E">
        <w:rPr>
          <w:rFonts w:cs="Calibri"/>
        </w:rPr>
        <w:t>derivadas de la legislación urbanística; pero en tal caso, la publicidad del Registro no será la clásica “publicidad</w:t>
      </w:r>
      <w:r w:rsidR="006A595A">
        <w:rPr>
          <w:rFonts w:cs="Calibri"/>
        </w:rPr>
        <w:t>-</w:t>
      </w:r>
      <w:r w:rsidR="00EF59AA" w:rsidRPr="00DB5B8E">
        <w:rPr>
          <w:rFonts w:cs="Calibri"/>
        </w:rPr>
        <w:t>efecto” sino</w:t>
      </w:r>
      <w:r w:rsidR="006A595A">
        <w:rPr>
          <w:rFonts w:cs="Calibri"/>
        </w:rPr>
        <w:t xml:space="preserve"> tan solo una</w:t>
      </w:r>
      <w:r w:rsidR="00EF59AA" w:rsidRPr="00DB5B8E">
        <w:rPr>
          <w:rFonts w:cs="Calibri"/>
        </w:rPr>
        <w:t xml:space="preserve"> “publicidad</w:t>
      </w:r>
      <w:r w:rsidR="006A595A">
        <w:rPr>
          <w:rFonts w:cs="Calibri"/>
        </w:rPr>
        <w:t>-</w:t>
      </w:r>
      <w:r w:rsidR="00EF59AA" w:rsidRPr="00DB5B8E">
        <w:rPr>
          <w:rFonts w:cs="Calibri"/>
        </w:rPr>
        <w:t>noticia”.</w:t>
      </w:r>
    </w:p>
    <w:p w:rsidR="00024682" w:rsidRPr="00DB5B8E" w:rsidRDefault="00024682" w:rsidP="00A23093">
      <w:pPr>
        <w:rPr>
          <w:rFonts w:cs="Calibri"/>
          <w:b/>
        </w:rPr>
      </w:pPr>
    </w:p>
    <w:p w:rsidR="00024682" w:rsidRPr="00691E02" w:rsidRDefault="00EF59AA" w:rsidP="00691E02">
      <w:pPr>
        <w:rPr>
          <w:rFonts w:cs="Calibri"/>
        </w:rPr>
      </w:pPr>
      <w:r w:rsidRPr="00691E02">
        <w:rPr>
          <w:rFonts w:cs="Calibri"/>
        </w:rPr>
        <w:t>EJEMPLOS</w:t>
      </w:r>
      <w:r w:rsidR="00024682" w:rsidRPr="00691E02">
        <w:rPr>
          <w:rFonts w:cs="Calibri"/>
        </w:rPr>
        <w:t>:</w:t>
      </w:r>
    </w:p>
    <w:p w:rsidR="003C19BE" w:rsidRPr="00DB5B8E" w:rsidRDefault="003C19BE" w:rsidP="00A23093">
      <w:pPr>
        <w:ind w:left="360"/>
        <w:rPr>
          <w:rFonts w:cs="Calibri"/>
        </w:rPr>
      </w:pPr>
    </w:p>
    <w:p w:rsidR="00691E02" w:rsidRPr="00691E02" w:rsidRDefault="00024682" w:rsidP="00D63756">
      <w:pPr>
        <w:ind w:left="708"/>
        <w:rPr>
          <w:rFonts w:cs="Calibri"/>
        </w:rPr>
      </w:pPr>
      <w:r w:rsidRPr="00691E02">
        <w:rPr>
          <w:rFonts w:cs="Calibri"/>
        </w:rPr>
        <w:t>1320 Cc</w:t>
      </w:r>
      <w:r w:rsidR="00691E02" w:rsidRPr="00691E02">
        <w:rPr>
          <w:rFonts w:cs="Calibri"/>
        </w:rPr>
        <w:t>, (</w:t>
      </w:r>
      <w:r w:rsidRPr="00691E02">
        <w:rPr>
          <w:rFonts w:cs="Calibri"/>
        </w:rPr>
        <w:t>vivienda habitual</w:t>
      </w:r>
      <w:r w:rsidR="00691E02" w:rsidRPr="00691E02">
        <w:rPr>
          <w:rFonts w:cs="Calibri"/>
        </w:rPr>
        <w:t>)</w:t>
      </w:r>
    </w:p>
    <w:p w:rsidR="00691E02" w:rsidRPr="00691E02" w:rsidRDefault="00691E02" w:rsidP="00D63756">
      <w:pPr>
        <w:ind w:left="708"/>
        <w:rPr>
          <w:rFonts w:cs="Calibri"/>
        </w:rPr>
      </w:pPr>
    </w:p>
    <w:p w:rsidR="00691E02" w:rsidRPr="00691E02" w:rsidRDefault="006A595A" w:rsidP="00D63756">
      <w:pPr>
        <w:ind w:left="708"/>
        <w:rPr>
          <w:rFonts w:cs="Calibri"/>
        </w:rPr>
      </w:pPr>
      <w:r w:rsidRPr="00691E02">
        <w:rPr>
          <w:rFonts w:cs="Calibri"/>
        </w:rPr>
        <w:t xml:space="preserve">4 LHMyPSD, </w:t>
      </w:r>
      <w:r w:rsidR="00691E02" w:rsidRPr="00691E02">
        <w:rPr>
          <w:rFonts w:cs="Calibri"/>
        </w:rPr>
        <w:t>El deudor no podrá enajenar los bienes hipotecados o dados en prenda sin el consentimiento del acreedor.</w:t>
      </w:r>
    </w:p>
    <w:p w:rsidR="00691E02" w:rsidRDefault="00691E02" w:rsidP="00D63756">
      <w:pPr>
        <w:ind w:left="708"/>
        <w:rPr>
          <w:rFonts w:cs="Calibri"/>
        </w:rPr>
      </w:pPr>
    </w:p>
    <w:p w:rsidR="000539FA" w:rsidRDefault="006A595A" w:rsidP="00D63756">
      <w:pPr>
        <w:ind w:left="708"/>
        <w:rPr>
          <w:rFonts w:cs="Calibri"/>
        </w:rPr>
      </w:pPr>
      <w:r w:rsidRPr="00691E02">
        <w:rPr>
          <w:rFonts w:cs="Calibri"/>
        </w:rPr>
        <w:t xml:space="preserve">LPH 25 junio de 1985, que prohíbe </w:t>
      </w:r>
      <w:r w:rsidR="00EF59AA" w:rsidRPr="00691E02">
        <w:rPr>
          <w:rFonts w:cs="Calibri"/>
        </w:rPr>
        <w:t>de enajenar los inmuebles integrantes del Patrimonio Histórico Español sin autorización administrativa.</w:t>
      </w:r>
    </w:p>
    <w:p w:rsidR="00691E02" w:rsidRPr="00691E02" w:rsidRDefault="00691E02" w:rsidP="00D63756">
      <w:pPr>
        <w:ind w:left="708"/>
        <w:rPr>
          <w:rFonts w:cs="Calibri"/>
        </w:rPr>
      </w:pPr>
    </w:p>
    <w:p w:rsidR="00EF59AA" w:rsidRPr="00691E02" w:rsidRDefault="000539FA" w:rsidP="00D63756">
      <w:pPr>
        <w:ind w:left="708"/>
        <w:rPr>
          <w:rFonts w:cs="Calibri"/>
        </w:rPr>
      </w:pPr>
      <w:r w:rsidRPr="00691E02">
        <w:rPr>
          <w:rFonts w:cs="Calibri"/>
        </w:rPr>
        <w:t xml:space="preserve">Las </w:t>
      </w:r>
      <w:r w:rsidR="00EF59AA" w:rsidRPr="00691E02">
        <w:rPr>
          <w:rFonts w:cs="Calibri"/>
          <w:spacing w:val="-3"/>
        </w:rPr>
        <w:t>prohibiciones de disponer impuestas al retrayente en diversos retractos legales, para mejor cumpli</w:t>
      </w:r>
      <w:r w:rsidRPr="00691E02">
        <w:rPr>
          <w:rFonts w:cs="Calibri"/>
          <w:spacing w:val="-3"/>
        </w:rPr>
        <w:t>miento de</w:t>
      </w:r>
      <w:r w:rsidR="00EF59AA" w:rsidRPr="00691E02">
        <w:rPr>
          <w:rFonts w:cs="Calibri"/>
          <w:spacing w:val="-3"/>
        </w:rPr>
        <w:t xml:space="preserve"> </w:t>
      </w:r>
      <w:r w:rsidR="001E23AE">
        <w:rPr>
          <w:rFonts w:cs="Calibri"/>
          <w:spacing w:val="-3"/>
        </w:rPr>
        <w:t xml:space="preserve"> sus </w:t>
      </w:r>
      <w:r w:rsidR="00EF59AA" w:rsidRPr="00691E02">
        <w:rPr>
          <w:rFonts w:cs="Calibri"/>
          <w:spacing w:val="-3"/>
        </w:rPr>
        <w:t xml:space="preserve"> fines </w:t>
      </w:r>
      <w:r w:rsidRPr="00691E02">
        <w:rPr>
          <w:rFonts w:cs="Calibri"/>
          <w:spacing w:val="-3"/>
        </w:rPr>
        <w:t xml:space="preserve"> (</w:t>
      </w:r>
      <w:r w:rsidR="001E23AE">
        <w:rPr>
          <w:rFonts w:cs="Calibri"/>
          <w:spacing w:val="-3"/>
        </w:rPr>
        <w:t>vg</w:t>
      </w:r>
      <w:r w:rsidR="00EF59AA" w:rsidRPr="00691E02">
        <w:rPr>
          <w:rFonts w:cs="Calibri"/>
          <w:spacing w:val="-3"/>
        </w:rPr>
        <w:t>, en los retractos gentilicios navarro y aragonés</w:t>
      </w:r>
      <w:r w:rsidRPr="00691E02">
        <w:rPr>
          <w:rFonts w:cs="Calibri"/>
          <w:spacing w:val="-3"/>
        </w:rPr>
        <w:t>).</w:t>
      </w:r>
    </w:p>
    <w:p w:rsidR="00024682" w:rsidRDefault="00024682" w:rsidP="00D63756">
      <w:pPr>
        <w:ind w:left="708"/>
        <w:rPr>
          <w:rFonts w:cs="Calibri"/>
        </w:rPr>
      </w:pPr>
    </w:p>
    <w:p w:rsidR="00024682" w:rsidRPr="00D63756" w:rsidRDefault="00024682" w:rsidP="001E23AE">
      <w:pPr>
        <w:rPr>
          <w:rFonts w:cs="Calibri"/>
        </w:rPr>
      </w:pPr>
      <w:r w:rsidRPr="00D63756">
        <w:rPr>
          <w:rFonts w:cs="Calibri"/>
        </w:rPr>
        <w:t>E</w:t>
      </w:r>
      <w:r w:rsidR="001E23AE" w:rsidRPr="00D63756">
        <w:rPr>
          <w:rFonts w:cs="Calibri"/>
        </w:rPr>
        <w:t>FECTOS</w:t>
      </w:r>
      <w:r w:rsidRPr="00D63756">
        <w:rPr>
          <w:rFonts w:cs="Calibri"/>
        </w:rPr>
        <w:t>.- N</w:t>
      </w:r>
      <w:r w:rsidR="001E23AE" w:rsidRPr="00D63756">
        <w:rPr>
          <w:rFonts w:cs="Calibri"/>
        </w:rPr>
        <w:t>ulidad de pleno derecho  (salvo 6.3 Cc</w:t>
      </w:r>
      <w:r w:rsidR="00D63756">
        <w:rPr>
          <w:rFonts w:cs="Calibri"/>
        </w:rPr>
        <w:t>, vg en materia de VPO</w:t>
      </w:r>
      <w:r w:rsidR="001E23AE" w:rsidRPr="00D63756">
        <w:rPr>
          <w:rFonts w:cs="Calibri"/>
        </w:rPr>
        <w:t>)</w:t>
      </w:r>
      <w:r w:rsidRPr="00D63756">
        <w:rPr>
          <w:rFonts w:cs="Calibri"/>
        </w:rPr>
        <w:t>.</w:t>
      </w:r>
    </w:p>
    <w:p w:rsidR="00024682" w:rsidRPr="00DB5B8E" w:rsidRDefault="00024682" w:rsidP="00A23093">
      <w:pPr>
        <w:rPr>
          <w:rFonts w:cs="Calibri"/>
        </w:rPr>
      </w:pPr>
    </w:p>
    <w:p w:rsidR="005361DD" w:rsidRDefault="00024682" w:rsidP="005361DD">
      <w:pPr>
        <w:jc w:val="center"/>
        <w:rPr>
          <w:rFonts w:cs="Calibri"/>
          <w:b/>
          <w:color w:val="548DD4"/>
        </w:rPr>
      </w:pPr>
      <w:r w:rsidRPr="006A595A">
        <w:rPr>
          <w:rFonts w:cs="Calibri"/>
          <w:b/>
          <w:color w:val="548DD4"/>
        </w:rPr>
        <w:t xml:space="preserve">Prohibiciones </w:t>
      </w:r>
      <w:r w:rsidR="000539FA">
        <w:rPr>
          <w:rFonts w:cs="Calibri"/>
          <w:b/>
          <w:color w:val="548DD4"/>
        </w:rPr>
        <w:t xml:space="preserve">JUDICIALES </w:t>
      </w:r>
      <w:r w:rsidRPr="006A595A">
        <w:rPr>
          <w:rFonts w:cs="Calibri"/>
          <w:b/>
          <w:color w:val="548DD4"/>
        </w:rPr>
        <w:t xml:space="preserve">y </w:t>
      </w:r>
      <w:r w:rsidR="000539FA">
        <w:rPr>
          <w:rFonts w:cs="Calibri"/>
          <w:b/>
          <w:color w:val="548DD4"/>
        </w:rPr>
        <w:t>ADMINISTRATIVAS</w:t>
      </w:r>
    </w:p>
    <w:p w:rsidR="005361DD" w:rsidRDefault="005361DD" w:rsidP="00A23093">
      <w:pPr>
        <w:rPr>
          <w:rFonts w:cs="Calibri"/>
          <w:b/>
          <w:color w:val="548DD4"/>
        </w:rPr>
      </w:pPr>
    </w:p>
    <w:p w:rsidR="00024682" w:rsidRPr="00D63756" w:rsidRDefault="00120A9F" w:rsidP="008C1190">
      <w:pPr>
        <w:rPr>
          <w:rFonts w:cs="Calibri"/>
        </w:rPr>
      </w:pPr>
      <w:r w:rsidRPr="00D63756">
        <w:rPr>
          <w:rFonts w:cs="Calibri"/>
        </w:rPr>
        <w:t>EJEMPLOS</w:t>
      </w:r>
      <w:r w:rsidR="00024682" w:rsidRPr="00D63756">
        <w:rPr>
          <w:rFonts w:cs="Calibri"/>
        </w:rPr>
        <w:t>:</w:t>
      </w:r>
    </w:p>
    <w:p w:rsidR="00120A9F" w:rsidRPr="00DB5B8E" w:rsidRDefault="00120A9F" w:rsidP="00A23093">
      <w:pPr>
        <w:ind w:left="284"/>
        <w:rPr>
          <w:rFonts w:cs="Calibri"/>
        </w:rPr>
      </w:pPr>
    </w:p>
    <w:p w:rsidR="00D63756" w:rsidRDefault="00024682" w:rsidP="008C1190">
      <w:pPr>
        <w:ind w:left="284"/>
        <w:rPr>
          <w:rFonts w:cs="Calibri"/>
        </w:rPr>
      </w:pPr>
      <w:r w:rsidRPr="00694903">
        <w:rPr>
          <w:rFonts w:cs="Calibri"/>
          <w:b/>
        </w:rPr>
        <w:t>42.4º LH</w:t>
      </w:r>
      <w:r w:rsidR="00D63756">
        <w:rPr>
          <w:rFonts w:cs="Calibri"/>
        </w:rPr>
        <w:t xml:space="preserve"> </w:t>
      </w:r>
      <w:r w:rsidR="00120A9F" w:rsidRPr="000539FA">
        <w:rPr>
          <w:rFonts w:cs="Calibri"/>
          <w:bCs/>
          <w:iCs/>
        </w:rPr>
        <w:t xml:space="preserve"> </w:t>
      </w:r>
      <w:r w:rsidR="00D63756">
        <w:rPr>
          <w:rFonts w:cs="Calibri"/>
          <w:bCs/>
          <w:iCs/>
        </w:rPr>
        <w:t>P</w:t>
      </w:r>
      <w:r w:rsidR="00120A9F" w:rsidRPr="000539FA">
        <w:rPr>
          <w:rFonts w:cs="Calibri"/>
          <w:bCs/>
          <w:iCs/>
        </w:rPr>
        <w:t xml:space="preserve">odrá pedir </w:t>
      </w:r>
      <w:r w:rsidR="00D63756">
        <w:rPr>
          <w:rFonts w:cs="Calibri"/>
          <w:bCs/>
          <w:iCs/>
        </w:rPr>
        <w:t>AP</w:t>
      </w:r>
      <w:r w:rsidR="00702956">
        <w:rPr>
          <w:rFonts w:cs="Calibri"/>
          <w:bCs/>
          <w:iCs/>
        </w:rPr>
        <w:t xml:space="preserve"> de su dº: </w:t>
      </w:r>
      <w:r w:rsidR="00702956">
        <w:rPr>
          <w:rFonts w:cs="Calibri"/>
          <w:b/>
          <w:i/>
          <w:color w:val="808080"/>
        </w:rPr>
        <w:t>E</w:t>
      </w:r>
      <w:r w:rsidR="00120A9F" w:rsidRPr="00DB5B8E">
        <w:rPr>
          <w:rFonts w:cs="Calibri"/>
          <w:b/>
          <w:i/>
          <w:color w:val="808080"/>
        </w:rPr>
        <w:t>l que demandando en juicio ordinario el cumplimiento de cualquier obligación, obtuviere con arreglo a las Leyes providencia ordenando el secuestro o prohibiendo la enajenación de bienes inmuebles</w:t>
      </w:r>
      <w:r w:rsidR="00120A9F" w:rsidRPr="00DB5B8E">
        <w:rPr>
          <w:rFonts w:cs="Calibri"/>
        </w:rPr>
        <w:t xml:space="preserve">. </w:t>
      </w:r>
    </w:p>
    <w:p w:rsidR="00AE2CC5" w:rsidRDefault="00AE2CC5" w:rsidP="008C1190">
      <w:pPr>
        <w:ind w:left="284"/>
        <w:rPr>
          <w:rFonts w:cs="Calibri"/>
        </w:rPr>
      </w:pPr>
    </w:p>
    <w:p w:rsidR="00702956" w:rsidRPr="00702956" w:rsidRDefault="00694903" w:rsidP="008C1190">
      <w:pPr>
        <w:ind w:left="284"/>
        <w:rPr>
          <w:rFonts w:cs="Courier New"/>
          <w:spacing w:val="-3"/>
        </w:rPr>
      </w:pPr>
      <w:r w:rsidRPr="00694903">
        <w:rPr>
          <w:rFonts w:cs="Courier New"/>
          <w:spacing w:val="-3"/>
        </w:rPr>
        <w:t>AP</w:t>
      </w:r>
      <w:r w:rsidR="00702956" w:rsidRPr="00694903">
        <w:rPr>
          <w:rFonts w:cs="Courier New"/>
          <w:spacing w:val="-3"/>
        </w:rPr>
        <w:t xml:space="preserve"> de incoación de expediente de disciplina urbanística por parcelación ilegal, con efectos de prohibición </w:t>
      </w:r>
      <w:r>
        <w:rPr>
          <w:rFonts w:cs="Courier New"/>
          <w:spacing w:val="-3"/>
        </w:rPr>
        <w:t xml:space="preserve">absoluta </w:t>
      </w:r>
      <w:r w:rsidR="00702956" w:rsidRPr="00702956">
        <w:rPr>
          <w:rFonts w:cs="Courier New"/>
          <w:spacing w:val="-3"/>
        </w:rPr>
        <w:t xml:space="preserve">de disponer </w:t>
      </w:r>
      <w:r>
        <w:rPr>
          <w:rFonts w:cs="Courier New"/>
          <w:spacing w:val="-3"/>
        </w:rPr>
        <w:t>(a</w:t>
      </w:r>
      <w:r w:rsidR="00702956" w:rsidRPr="00702956">
        <w:rPr>
          <w:rFonts w:cs="Courier New"/>
          <w:spacing w:val="-3"/>
        </w:rPr>
        <w:t xml:space="preserve">rt </w:t>
      </w:r>
      <w:r w:rsidR="00702956" w:rsidRPr="00694903">
        <w:rPr>
          <w:rFonts w:cs="Courier New"/>
          <w:b/>
          <w:spacing w:val="-3"/>
        </w:rPr>
        <w:t>79.5 RD 4 de julio de 1997</w:t>
      </w:r>
      <w:r>
        <w:rPr>
          <w:rFonts w:cs="Courier New"/>
          <w:spacing w:val="-3"/>
        </w:rPr>
        <w:t>)</w:t>
      </w:r>
    </w:p>
    <w:p w:rsidR="000539FA" w:rsidRPr="00DB5B8E" w:rsidRDefault="000539FA" w:rsidP="008C1190">
      <w:pPr>
        <w:ind w:left="644"/>
        <w:rPr>
          <w:rFonts w:cs="Calibri"/>
        </w:rPr>
      </w:pPr>
    </w:p>
    <w:p w:rsidR="00694903" w:rsidRDefault="00694903" w:rsidP="008C1190">
      <w:pPr>
        <w:ind w:left="284"/>
        <w:rPr>
          <w:rFonts w:cs="Calibri"/>
          <w:b/>
          <w:i/>
          <w:color w:val="808080"/>
        </w:rPr>
      </w:pPr>
      <w:r w:rsidRPr="008C1190">
        <w:rPr>
          <w:rFonts w:cs="Calibri"/>
          <w:b/>
        </w:rPr>
        <w:t>P</w:t>
      </w:r>
      <w:r w:rsidR="00120A9F" w:rsidRPr="008C1190">
        <w:rPr>
          <w:rFonts w:cs="Calibri"/>
          <w:b/>
          <w:bCs/>
        </w:rPr>
        <w:t>árrafo final del art 20 LH</w:t>
      </w:r>
      <w:r w:rsidR="00120A9F" w:rsidRPr="00DB5B8E">
        <w:rPr>
          <w:rFonts w:cs="Calibri"/>
        </w:rPr>
        <w:t xml:space="preserve"> </w:t>
      </w:r>
      <w:r w:rsidR="00120A9F" w:rsidRPr="00DB5B8E">
        <w:rPr>
          <w:rFonts w:cs="Calibri"/>
          <w:b/>
          <w:i/>
          <w:color w:val="808080"/>
        </w:rPr>
        <w:t xml:space="preserve">NO podrá tomarse anotación de </w:t>
      </w:r>
      <w:r w:rsidR="00120A9F" w:rsidRPr="000539FA">
        <w:rPr>
          <w:rFonts w:cs="Calibri"/>
          <w:b/>
          <w:i/>
          <w:color w:val="808080"/>
          <w:u w:val="single"/>
        </w:rPr>
        <w:t xml:space="preserve">demanda, embargo </w:t>
      </w:r>
      <w:r w:rsidR="000539FA" w:rsidRPr="000539FA">
        <w:rPr>
          <w:rFonts w:cs="Calibri"/>
          <w:b/>
          <w:i/>
          <w:color w:val="808080"/>
          <w:u w:val="single"/>
        </w:rPr>
        <w:t>ó</w:t>
      </w:r>
      <w:r w:rsidR="00120A9F" w:rsidRPr="000539FA">
        <w:rPr>
          <w:rFonts w:cs="Calibri"/>
          <w:b/>
          <w:i/>
          <w:color w:val="808080"/>
          <w:u w:val="single"/>
        </w:rPr>
        <w:t xml:space="preserve"> prohibición de disponer, ni cualquier otra prevista en </w:t>
      </w:r>
      <w:smartTag w:uri="urn:schemas-microsoft-com:office:smarttags" w:element="PersonName">
        <w:smartTagPr>
          <w:attr w:name="ProductID" w:val="la Ley"/>
        </w:smartTagPr>
        <w:r w:rsidR="00120A9F" w:rsidRPr="000539FA">
          <w:rPr>
            <w:rFonts w:cs="Calibri"/>
            <w:b/>
            <w:i/>
            <w:color w:val="808080"/>
            <w:u w:val="single"/>
          </w:rPr>
          <w:t>la Ley</w:t>
        </w:r>
      </w:smartTag>
      <w:r w:rsidR="00120A9F" w:rsidRPr="00DB5B8E">
        <w:rPr>
          <w:rFonts w:cs="Calibri"/>
          <w:b/>
          <w:i/>
          <w:color w:val="808080"/>
        </w:rPr>
        <w:t xml:space="preserve">, si el titular registral es persona distinta de aquella contra la cual se ha dirigido el procedimiento. </w:t>
      </w:r>
      <w:r w:rsidR="00961114" w:rsidRPr="008A42D9">
        <w:rPr>
          <w:rFonts w:cs="Calibri"/>
          <w:b/>
          <w:i/>
          <w:color w:val="7F7F7F"/>
          <w:u w:val="single"/>
        </w:rPr>
        <w:t>En los procedimientos criminales</w:t>
      </w:r>
      <w:r w:rsidR="00961114" w:rsidRPr="008A42D9">
        <w:rPr>
          <w:rFonts w:cs="Calibri"/>
          <w:b/>
          <w:i/>
          <w:color w:val="7F7F7F"/>
        </w:rPr>
        <w:t xml:space="preserve"> podrá tomarse anotación </w:t>
      </w:r>
      <w:r w:rsidR="00961114" w:rsidRPr="008A42D9">
        <w:rPr>
          <w:rFonts w:cs="Calibri"/>
          <w:b/>
          <w:i/>
          <w:color w:val="7F7F7F"/>
          <w:u w:val="single"/>
        </w:rPr>
        <w:t>de embargo preventivo</w:t>
      </w:r>
      <w:r w:rsidR="00961114" w:rsidRPr="008A42D9">
        <w:rPr>
          <w:rFonts w:cs="Calibri"/>
          <w:b/>
          <w:i/>
          <w:color w:val="7F7F7F"/>
        </w:rPr>
        <w:t xml:space="preserve"> o </w:t>
      </w:r>
      <w:r w:rsidR="00961114" w:rsidRPr="008A42D9">
        <w:rPr>
          <w:rFonts w:cs="Calibri"/>
          <w:b/>
          <w:i/>
          <w:color w:val="7F7F7F"/>
          <w:u w:val="single"/>
        </w:rPr>
        <w:t>de prohibición de disponer</w:t>
      </w:r>
      <w:r w:rsidR="00961114" w:rsidRPr="008A42D9">
        <w:rPr>
          <w:rFonts w:cs="Calibri"/>
          <w:b/>
          <w:i/>
          <w:color w:val="7F7F7F"/>
        </w:rPr>
        <w:t xml:space="preserve"> de los bienes como medida cautelar, cuando a juicio del juez o tribunal existan indicios racionales de que el verdadero titular de los mismos es el imputado, haciéndolo constar en el mandamiento. </w:t>
      </w:r>
    </w:p>
    <w:p w:rsidR="00694903" w:rsidRDefault="00694903" w:rsidP="008C1190">
      <w:pPr>
        <w:ind w:left="284"/>
        <w:rPr>
          <w:rFonts w:cs="Calibri"/>
          <w:b/>
          <w:i/>
          <w:color w:val="808080"/>
        </w:rPr>
      </w:pPr>
    </w:p>
    <w:p w:rsidR="00120A9F" w:rsidRPr="000539FA" w:rsidRDefault="00694903" w:rsidP="008C1190">
      <w:pPr>
        <w:ind w:left="992"/>
        <w:rPr>
          <w:rFonts w:cs="Calibri"/>
        </w:rPr>
      </w:pPr>
      <w:r>
        <w:rPr>
          <w:rFonts w:cs="Calibri"/>
        </w:rPr>
        <w:lastRenderedPageBreak/>
        <w:t>Frente a</w:t>
      </w:r>
      <w:r w:rsidR="000539FA" w:rsidRPr="000539FA">
        <w:rPr>
          <w:rFonts w:cs="Calibri"/>
        </w:rPr>
        <w:t xml:space="preserve"> regla general </w:t>
      </w:r>
      <w:r>
        <w:rPr>
          <w:rFonts w:cs="Calibri"/>
        </w:rPr>
        <w:t>(</w:t>
      </w:r>
      <w:r w:rsidR="000539FA" w:rsidRPr="000539FA">
        <w:rPr>
          <w:rFonts w:cs="Calibri"/>
        </w:rPr>
        <w:t>tracto sucesivo</w:t>
      </w:r>
      <w:r>
        <w:rPr>
          <w:rFonts w:cs="Calibri"/>
        </w:rPr>
        <w:t xml:space="preserve">), </w:t>
      </w:r>
      <w:r w:rsidR="00961114">
        <w:rPr>
          <w:rFonts w:cs="Calibri"/>
        </w:rPr>
        <w:t xml:space="preserve">una </w:t>
      </w:r>
      <w:r>
        <w:rPr>
          <w:rFonts w:cs="Calibri"/>
        </w:rPr>
        <w:t>EXCEPCIÓN</w:t>
      </w:r>
      <w:r w:rsidR="00961114">
        <w:rPr>
          <w:rFonts w:cs="Calibri"/>
        </w:rPr>
        <w:t xml:space="preserve"> </w:t>
      </w:r>
      <w:r w:rsidRPr="00DB5B8E">
        <w:rPr>
          <w:rFonts w:cs="Calibri"/>
        </w:rPr>
        <w:t xml:space="preserve">(añadido por Ley Orgánica </w:t>
      </w:r>
      <w:r w:rsidR="00961114">
        <w:rPr>
          <w:rFonts w:cs="Calibri"/>
        </w:rPr>
        <w:t xml:space="preserve">15/2003, </w:t>
      </w:r>
      <w:r w:rsidRPr="00DB5B8E">
        <w:rPr>
          <w:rFonts w:cs="Calibri"/>
        </w:rPr>
        <w:t xml:space="preserve">de </w:t>
      </w:r>
      <w:r>
        <w:rPr>
          <w:rFonts w:cs="Calibri"/>
        </w:rPr>
        <w:t>R</w:t>
      </w:r>
      <w:r w:rsidRPr="00DB5B8E">
        <w:rPr>
          <w:rFonts w:cs="Calibri"/>
        </w:rPr>
        <w:t xml:space="preserve">eforma del Código Penal) </w:t>
      </w:r>
      <w:r>
        <w:rPr>
          <w:rFonts w:cs="Calibri"/>
        </w:rPr>
        <w:t xml:space="preserve"> </w:t>
      </w:r>
      <w:r w:rsidR="000539FA" w:rsidRPr="008A42D9">
        <w:rPr>
          <w:rFonts w:cs="Calibri"/>
        </w:rPr>
        <w:t>tiene por finalidad facili</w:t>
      </w:r>
      <w:r>
        <w:rPr>
          <w:rFonts w:cs="Calibri"/>
        </w:rPr>
        <w:t>tar</w:t>
      </w:r>
      <w:r w:rsidR="000539FA" w:rsidRPr="008A42D9">
        <w:rPr>
          <w:rFonts w:cs="Calibri"/>
        </w:rPr>
        <w:t xml:space="preserve"> la lucha contra la delincuencia organizada</w:t>
      </w:r>
      <w:r>
        <w:rPr>
          <w:rFonts w:cs="Calibri"/>
        </w:rPr>
        <w:t xml:space="preserve"> (particularmente, en blanqueo de capitales)</w:t>
      </w:r>
      <w:r w:rsidR="000539FA" w:rsidRPr="008A42D9">
        <w:rPr>
          <w:rFonts w:cs="Calibri"/>
        </w:rPr>
        <w:t xml:space="preserve">. Si hubiese que esperar </w:t>
      </w:r>
      <w:r w:rsidR="000539FA" w:rsidRPr="008A42D9">
        <w:rPr>
          <w:rFonts w:cs="Calibri"/>
          <w:i/>
        </w:rPr>
        <w:t>a levantar el velo de la sociedad para proceder al embargo</w:t>
      </w:r>
      <w:r w:rsidR="000539FA" w:rsidRPr="008A42D9">
        <w:rPr>
          <w:rFonts w:cs="Calibri"/>
        </w:rPr>
        <w:t>, es muy probable que se resultase frustada la acción de la justicia.</w:t>
      </w:r>
    </w:p>
    <w:p w:rsidR="00024682" w:rsidRPr="00DB5B8E" w:rsidRDefault="00024682" w:rsidP="00A23093">
      <w:pPr>
        <w:widowControl w:val="0"/>
        <w:rPr>
          <w:rFonts w:cs="Calibri"/>
        </w:rPr>
      </w:pPr>
    </w:p>
    <w:p w:rsidR="006A595A" w:rsidRDefault="008C1190" w:rsidP="00A23093">
      <w:pPr>
        <w:rPr>
          <w:rFonts w:cs="Courier New"/>
          <w:spacing w:val="-3"/>
        </w:rPr>
      </w:pPr>
      <w:r>
        <w:rPr>
          <w:rFonts w:cs="Courier New"/>
          <w:spacing w:val="-3"/>
        </w:rPr>
        <w:t>EFECTOS</w:t>
      </w:r>
      <w:r w:rsidR="00961114">
        <w:rPr>
          <w:rFonts w:cs="Courier New"/>
          <w:spacing w:val="-3"/>
        </w:rPr>
        <w:t xml:space="preserve">: </w:t>
      </w:r>
      <w:r w:rsidR="00024682" w:rsidRPr="00961114">
        <w:rPr>
          <w:rFonts w:cs="Courier New"/>
          <w:spacing w:val="-3"/>
        </w:rPr>
        <w:t xml:space="preserve"> </w:t>
      </w:r>
      <w:r w:rsidR="00961114" w:rsidRPr="00961114">
        <w:rPr>
          <w:rFonts w:cs="Courier New"/>
          <w:spacing w:val="-3"/>
        </w:rPr>
        <w:t xml:space="preserve">las prohibiciones de disponer anotadas, mientras estén en vigor, </w:t>
      </w:r>
      <w:r w:rsidR="00961114" w:rsidRPr="00A700D3">
        <w:rPr>
          <w:rFonts w:cs="Courier New"/>
          <w:spacing w:val="-3"/>
        </w:rPr>
        <w:t xml:space="preserve">impiden la inscripción de los actos dispositivos </w:t>
      </w:r>
      <w:r w:rsidR="00961114" w:rsidRPr="00961114">
        <w:rPr>
          <w:rFonts w:cs="Courier New"/>
          <w:spacing w:val="-3"/>
        </w:rPr>
        <w:t>que la contravengan,</w:t>
      </w:r>
      <w:r w:rsidR="00961114" w:rsidRPr="00A700D3">
        <w:rPr>
          <w:rFonts w:cs="Courier New"/>
          <w:spacing w:val="-3"/>
        </w:rPr>
        <w:t xml:space="preserve"> </w:t>
      </w:r>
      <w:r w:rsidR="00A700D3">
        <w:rPr>
          <w:rFonts w:cs="Courier New"/>
          <w:spacing w:val="-3"/>
        </w:rPr>
        <w:t>“</w:t>
      </w:r>
      <w:r w:rsidRPr="00A700D3">
        <w:rPr>
          <w:rFonts w:cs="Courier New"/>
          <w:i/>
          <w:spacing w:val="-3"/>
        </w:rPr>
        <w:t>SALVO que estén BASADOS EN ASIENTOS ANTERIORES</w:t>
      </w:r>
      <w:r w:rsidR="00961114" w:rsidRPr="00A700D3">
        <w:rPr>
          <w:rFonts w:cs="Courier New"/>
          <w:i/>
          <w:spacing w:val="-3"/>
        </w:rPr>
        <w:t xml:space="preserve"> </w:t>
      </w:r>
      <w:r w:rsidR="00A700D3">
        <w:rPr>
          <w:rFonts w:cs="Courier New"/>
          <w:spacing w:val="-3"/>
        </w:rPr>
        <w:t>“</w:t>
      </w:r>
      <w:r w:rsidR="00961114">
        <w:rPr>
          <w:rFonts w:cs="Courier New"/>
          <w:spacing w:val="-3"/>
        </w:rPr>
        <w:t>(145 RH)</w:t>
      </w:r>
    </w:p>
    <w:p w:rsidR="008C1190" w:rsidRDefault="008C1190" w:rsidP="00A23093">
      <w:pPr>
        <w:rPr>
          <w:rFonts w:cs="Courier New"/>
          <w:spacing w:val="-3"/>
        </w:rPr>
      </w:pPr>
    </w:p>
    <w:p w:rsidR="006F54AA" w:rsidRDefault="008C1190" w:rsidP="00A700D3">
      <w:pPr>
        <w:ind w:left="708"/>
        <w:rPr>
          <w:rFonts w:cs="Courier New"/>
          <w:spacing w:val="-3"/>
        </w:rPr>
      </w:pPr>
      <w:r>
        <w:rPr>
          <w:rFonts w:cs="Courier New"/>
          <w:spacing w:val="-3"/>
        </w:rPr>
        <w:t xml:space="preserve">Se discute la </w:t>
      </w:r>
      <w:r w:rsidRPr="008C1190">
        <w:rPr>
          <w:rFonts w:cs="Courier New"/>
          <w:spacing w:val="-3"/>
        </w:rPr>
        <w:t xml:space="preserve">inscripción de actos </w:t>
      </w:r>
      <w:r w:rsidR="006F54AA">
        <w:rPr>
          <w:rFonts w:cs="Courier New"/>
          <w:spacing w:val="-3"/>
        </w:rPr>
        <w:t>ANTERIORES</w:t>
      </w:r>
      <w:r w:rsidRPr="008C1190">
        <w:rPr>
          <w:rFonts w:cs="Courier New"/>
          <w:spacing w:val="-3"/>
        </w:rPr>
        <w:t xml:space="preserve"> a la anotación de la prohibición de disponer</w:t>
      </w:r>
      <w:r>
        <w:rPr>
          <w:rFonts w:cs="Courier New"/>
          <w:spacing w:val="-3"/>
        </w:rPr>
        <w:t xml:space="preserve">. </w:t>
      </w:r>
      <w:r w:rsidR="006F54AA">
        <w:rPr>
          <w:rFonts w:cs="Courier New"/>
          <w:spacing w:val="-3"/>
        </w:rPr>
        <w:t>L</w:t>
      </w:r>
      <w:r w:rsidR="006F54AA" w:rsidRPr="008C1190">
        <w:rPr>
          <w:rFonts w:cs="Courier New"/>
          <w:spacing w:val="-3"/>
        </w:rPr>
        <w:t>a RDGRN 28 de enero de 2016</w:t>
      </w:r>
      <w:r w:rsidR="006F54AA">
        <w:rPr>
          <w:rFonts w:cs="Courier New"/>
          <w:spacing w:val="-3"/>
        </w:rPr>
        <w:t xml:space="preserve"> </w:t>
      </w:r>
      <w:r w:rsidR="00AB7548">
        <w:rPr>
          <w:rFonts w:cs="Courier New"/>
          <w:spacing w:val="-3"/>
        </w:rPr>
        <w:t>distingue</w:t>
      </w:r>
      <w:r w:rsidR="006F54AA">
        <w:rPr>
          <w:rFonts w:cs="Courier New"/>
          <w:spacing w:val="-3"/>
        </w:rPr>
        <w:t>:</w:t>
      </w:r>
    </w:p>
    <w:p w:rsidR="006F54AA" w:rsidRDefault="006F54AA" w:rsidP="00A700D3">
      <w:pPr>
        <w:ind w:left="708"/>
        <w:rPr>
          <w:rFonts w:cs="Courier New"/>
          <w:spacing w:val="-3"/>
        </w:rPr>
      </w:pPr>
    </w:p>
    <w:p w:rsidR="008C1190" w:rsidRDefault="006F54AA" w:rsidP="00A700D3">
      <w:pPr>
        <w:ind w:left="1416"/>
        <w:rPr>
          <w:rFonts w:cs="Courier New"/>
          <w:spacing w:val="-3"/>
        </w:rPr>
      </w:pPr>
      <w:r>
        <w:rPr>
          <w:rFonts w:cs="Courier New"/>
          <w:spacing w:val="-3"/>
        </w:rPr>
        <w:t xml:space="preserve">(voluntarias) Se permite la </w:t>
      </w:r>
      <w:r w:rsidRPr="006F54AA">
        <w:rPr>
          <w:rFonts w:cs="Courier New"/>
          <w:spacing w:val="-3"/>
        </w:rPr>
        <w:t xml:space="preserve"> inscripción </w:t>
      </w:r>
      <w:r>
        <w:rPr>
          <w:rFonts w:cs="Courier New"/>
          <w:spacing w:val="-3"/>
        </w:rPr>
        <w:t xml:space="preserve">de los actos dispositivos voluntarios anteriores pero sin </w:t>
      </w:r>
      <w:r w:rsidRPr="006F54AA">
        <w:rPr>
          <w:rFonts w:cs="Courier New"/>
          <w:spacing w:val="-3"/>
        </w:rPr>
        <w:t>cancela</w:t>
      </w:r>
      <w:r>
        <w:rPr>
          <w:rFonts w:cs="Courier New"/>
          <w:spacing w:val="-3"/>
        </w:rPr>
        <w:t>r</w:t>
      </w:r>
      <w:r w:rsidRPr="006F54AA">
        <w:rPr>
          <w:rFonts w:cs="Courier New"/>
          <w:spacing w:val="-3"/>
        </w:rPr>
        <w:t xml:space="preserve"> la </w:t>
      </w:r>
      <w:r>
        <w:rPr>
          <w:rFonts w:cs="Courier New"/>
          <w:spacing w:val="-3"/>
        </w:rPr>
        <w:t>AP</w:t>
      </w:r>
      <w:r w:rsidRPr="006F54AA">
        <w:rPr>
          <w:rFonts w:cs="Courier New"/>
          <w:spacing w:val="-3"/>
        </w:rPr>
        <w:t xml:space="preserve"> de prohibición</w:t>
      </w:r>
      <w:r>
        <w:rPr>
          <w:rFonts w:cs="Courier New"/>
          <w:spacing w:val="-3"/>
        </w:rPr>
        <w:t xml:space="preserve"> (</w:t>
      </w:r>
      <w:r w:rsidRPr="006F54AA">
        <w:rPr>
          <w:rFonts w:cs="Courier New"/>
          <w:spacing w:val="-3"/>
        </w:rPr>
        <w:t>se arrastra</w:t>
      </w:r>
      <w:r>
        <w:rPr>
          <w:rFonts w:cs="Courier New"/>
          <w:spacing w:val="-3"/>
        </w:rPr>
        <w:t xml:space="preserve">). </w:t>
      </w:r>
      <w:r w:rsidR="00657A17">
        <w:rPr>
          <w:rFonts w:cs="Courier New"/>
          <w:spacing w:val="-3"/>
        </w:rPr>
        <w:t xml:space="preserve"> </w:t>
      </w:r>
    </w:p>
    <w:p w:rsidR="008C1190" w:rsidRDefault="008C1190" w:rsidP="00A700D3">
      <w:pPr>
        <w:ind w:left="1416"/>
        <w:rPr>
          <w:rFonts w:cs="Courier New"/>
          <w:spacing w:val="-3"/>
        </w:rPr>
      </w:pPr>
    </w:p>
    <w:p w:rsidR="008C1190" w:rsidRDefault="006F54AA" w:rsidP="00A700D3">
      <w:pPr>
        <w:ind w:left="1416"/>
        <w:rPr>
          <w:rFonts w:cs="Courier New"/>
          <w:spacing w:val="-3"/>
        </w:rPr>
      </w:pPr>
      <w:r>
        <w:rPr>
          <w:rFonts w:cs="Courier New"/>
          <w:spacing w:val="-3"/>
        </w:rPr>
        <w:t xml:space="preserve">(procesales) </w:t>
      </w:r>
      <w:r w:rsidRPr="00A700D3">
        <w:rPr>
          <w:rFonts w:cs="Courier New"/>
          <w:spacing w:val="-3"/>
        </w:rPr>
        <w:t>C</w:t>
      </w:r>
      <w:r w:rsidR="008C1190" w:rsidRPr="00A700D3">
        <w:rPr>
          <w:rFonts w:cs="Courier New"/>
          <w:bCs/>
          <w:spacing w:val="-3"/>
        </w:rPr>
        <w:t xml:space="preserve">ierre registral </w:t>
      </w:r>
      <w:r w:rsidR="00A700D3" w:rsidRPr="00A700D3">
        <w:rPr>
          <w:rFonts w:cs="Courier New"/>
          <w:bCs/>
          <w:spacing w:val="-3"/>
        </w:rPr>
        <w:t>absoluto (</w:t>
      </w:r>
      <w:r w:rsidR="008C1190" w:rsidRPr="00A700D3">
        <w:rPr>
          <w:rFonts w:cs="Courier New"/>
          <w:bCs/>
          <w:spacing w:val="-3"/>
        </w:rPr>
        <w:t xml:space="preserve">no solo frente a actos posteriores a la </w:t>
      </w:r>
      <w:r w:rsidRPr="00A700D3">
        <w:rPr>
          <w:rFonts w:cs="Courier New"/>
          <w:bCs/>
          <w:spacing w:val="-3"/>
        </w:rPr>
        <w:t>AP</w:t>
      </w:r>
      <w:r w:rsidR="008C1190" w:rsidRPr="00A700D3">
        <w:rPr>
          <w:rFonts w:cs="Courier New"/>
          <w:bCs/>
          <w:spacing w:val="-3"/>
        </w:rPr>
        <w:t xml:space="preserve"> sino también </w:t>
      </w:r>
      <w:r w:rsidR="00A700D3" w:rsidRPr="00A700D3">
        <w:rPr>
          <w:rFonts w:cs="Courier New"/>
          <w:bCs/>
          <w:spacing w:val="-3"/>
        </w:rPr>
        <w:t>frente a</w:t>
      </w:r>
      <w:r w:rsidR="008C1190" w:rsidRPr="00A700D3">
        <w:rPr>
          <w:rFonts w:cs="Courier New"/>
          <w:bCs/>
          <w:spacing w:val="-3"/>
        </w:rPr>
        <w:t xml:space="preserve"> los anteriores, </w:t>
      </w:r>
      <w:r w:rsidR="008C1190" w:rsidRPr="00A700D3">
        <w:rPr>
          <w:rFonts w:cs="Courier New"/>
          <w:spacing w:val="-3"/>
        </w:rPr>
        <w:t xml:space="preserve"> por razones de orden público</w:t>
      </w:r>
      <w:r w:rsidR="006C2CBD">
        <w:rPr>
          <w:rFonts w:cs="Courier New"/>
          <w:spacing w:val="-3"/>
        </w:rPr>
        <w:t>)</w:t>
      </w:r>
      <w:r w:rsidR="008C1190" w:rsidRPr="00A700D3">
        <w:rPr>
          <w:rFonts w:cs="Courier New"/>
          <w:spacing w:val="-3"/>
        </w:rPr>
        <w:t>.</w:t>
      </w:r>
      <w:r w:rsidR="008C1190" w:rsidRPr="008C1190">
        <w:rPr>
          <w:rFonts w:cs="Courier New"/>
          <w:spacing w:val="-3"/>
        </w:rPr>
        <w:t xml:space="preserve"> </w:t>
      </w:r>
    </w:p>
    <w:p w:rsidR="008C1190" w:rsidRDefault="008C1190" w:rsidP="008C1190">
      <w:pPr>
        <w:rPr>
          <w:rFonts w:cs="Courier New"/>
          <w:spacing w:val="-3"/>
        </w:rPr>
      </w:pPr>
    </w:p>
    <w:p w:rsidR="006A595A" w:rsidRPr="00DB5B8E" w:rsidRDefault="006A595A" w:rsidP="00A23093">
      <w:pPr>
        <w:ind w:left="284"/>
        <w:rPr>
          <w:rFonts w:cs="Calibri"/>
          <w:color w:val="0000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3C19BE" w:rsidRPr="00DB5B8E">
        <w:tc>
          <w:tcPr>
            <w:tcW w:w="9494" w:type="dxa"/>
          </w:tcPr>
          <w:p w:rsidR="003C19BE" w:rsidRPr="00DB5B8E" w:rsidRDefault="003C19BE" w:rsidP="00A23093">
            <w:pPr>
              <w:jc w:val="center"/>
              <w:rPr>
                <w:rFonts w:cs="Calibri"/>
                <w:b/>
              </w:rPr>
            </w:pPr>
            <w:r w:rsidRPr="00DB5B8E">
              <w:rPr>
                <w:rFonts w:cs="Calibri"/>
                <w:b/>
              </w:rPr>
              <w:t>EXAMEN ESPECIAL DE LAS PROHIBICIONES VOLUNTARIAS</w:t>
            </w:r>
          </w:p>
        </w:tc>
      </w:tr>
    </w:tbl>
    <w:p w:rsidR="00261725" w:rsidRPr="00DB5B8E" w:rsidRDefault="00261725" w:rsidP="00A23093">
      <w:pPr>
        <w:rPr>
          <w:rFonts w:cs="Calibri"/>
          <w:b/>
          <w:u w:val="single"/>
        </w:rPr>
      </w:pPr>
    </w:p>
    <w:p w:rsidR="00A700D3" w:rsidRDefault="00A700D3" w:rsidP="00A700D3">
      <w:pPr>
        <w:jc w:val="center"/>
        <w:rPr>
          <w:rFonts w:cs="Calibri"/>
          <w:color w:val="1F497D"/>
        </w:rPr>
      </w:pPr>
    </w:p>
    <w:p w:rsidR="00EF3785" w:rsidRPr="00A700D3" w:rsidRDefault="00A700D3" w:rsidP="00A700D3">
      <w:pPr>
        <w:jc w:val="center"/>
        <w:rPr>
          <w:rFonts w:cs="Calibri"/>
        </w:rPr>
      </w:pPr>
      <w:r>
        <w:rPr>
          <w:rFonts w:cs="Calibri"/>
          <w:color w:val="1F497D"/>
        </w:rPr>
        <w:t>E</w:t>
      </w:r>
      <w:r w:rsidR="003C19BE" w:rsidRPr="00A700D3">
        <w:rPr>
          <w:rFonts w:cs="Calibri"/>
          <w:color w:val="1F497D"/>
        </w:rPr>
        <w:t>n actos y contratos a título “</w:t>
      </w:r>
      <w:r w:rsidR="00EF3785" w:rsidRPr="00A700D3">
        <w:rPr>
          <w:rFonts w:cs="Calibri"/>
          <w:color w:val="1F497D"/>
        </w:rPr>
        <w:t>GRATUITO</w:t>
      </w:r>
      <w:r w:rsidR="003C19BE" w:rsidRPr="00A700D3">
        <w:rPr>
          <w:rFonts w:cs="Calibri"/>
          <w:color w:val="1F497D"/>
        </w:rPr>
        <w:t>”</w:t>
      </w:r>
    </w:p>
    <w:p w:rsidR="00657A17" w:rsidRDefault="00657A17" w:rsidP="00A700D3">
      <w:pPr>
        <w:pStyle w:val="Sangra2detindependiente"/>
        <w:spacing w:line="360" w:lineRule="atLeast"/>
        <w:ind w:left="284" w:firstLine="0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A700D3" w:rsidRDefault="00A700D3" w:rsidP="00657A17">
      <w:pPr>
        <w:tabs>
          <w:tab w:val="left" w:pos="-720"/>
        </w:tabs>
        <w:rPr>
          <w:rFonts w:cs="Calibri"/>
        </w:rPr>
      </w:pPr>
      <w:r w:rsidRPr="00A700D3">
        <w:rPr>
          <w:rFonts w:cs="Calibri"/>
        </w:rPr>
        <w:t>REQUISITOS</w:t>
      </w:r>
      <w:r>
        <w:rPr>
          <w:rFonts w:cs="Calibri"/>
        </w:rPr>
        <w:t xml:space="preserve"> (para que sean inscribibles)</w:t>
      </w:r>
    </w:p>
    <w:p w:rsidR="00A700D3" w:rsidRPr="00DB5B8E" w:rsidRDefault="00A700D3" w:rsidP="00A700D3">
      <w:pPr>
        <w:pStyle w:val="Sangra2detindependiente"/>
        <w:spacing w:line="360" w:lineRule="atLeast"/>
        <w:ind w:left="284" w:firstLine="0"/>
        <w:rPr>
          <w:rFonts w:cs="Calibri"/>
        </w:rPr>
      </w:pPr>
    </w:p>
    <w:p w:rsidR="00EF3785" w:rsidRDefault="00EF3785" w:rsidP="00A700D3">
      <w:pPr>
        <w:ind w:left="900"/>
        <w:rPr>
          <w:rFonts w:cs="Calibri"/>
          <w:spacing w:val="-3"/>
        </w:rPr>
      </w:pPr>
      <w:r w:rsidRPr="00DB5B8E">
        <w:rPr>
          <w:rFonts w:cs="Calibri"/>
          <w:spacing w:val="-3"/>
          <w:u w:val="single"/>
        </w:rPr>
        <w:t xml:space="preserve">Que </w:t>
      </w:r>
      <w:r w:rsidR="00BB0D25">
        <w:rPr>
          <w:rFonts w:cs="Calibri"/>
          <w:spacing w:val="-3"/>
          <w:u w:val="single"/>
        </w:rPr>
        <w:t xml:space="preserve">estén establecidas </w:t>
      </w:r>
      <w:r w:rsidRPr="00DB5B8E">
        <w:rPr>
          <w:rFonts w:cs="Calibri"/>
          <w:spacing w:val="-3"/>
          <w:u w:val="single"/>
        </w:rPr>
        <w:t>en actos a título gratuito</w:t>
      </w:r>
      <w:r w:rsidRPr="00DB5B8E">
        <w:rPr>
          <w:rFonts w:cs="Calibri"/>
          <w:spacing w:val="-3"/>
        </w:rPr>
        <w:t xml:space="preserve">. La </w:t>
      </w:r>
      <w:r w:rsidRPr="00702956">
        <w:rPr>
          <w:rFonts w:cs="Calibri"/>
          <w:b/>
          <w:bCs/>
          <w:color w:val="FF0000"/>
          <w:spacing w:val="-3"/>
        </w:rPr>
        <w:t xml:space="preserve">DG </w:t>
      </w:r>
      <w:r w:rsidRPr="00DB5B8E">
        <w:rPr>
          <w:rFonts w:cs="Calibri"/>
          <w:spacing w:val="-3"/>
        </w:rPr>
        <w:t xml:space="preserve">tiene declarado que no cabe la inscripción de las </w:t>
      </w:r>
      <w:r w:rsidR="00702956">
        <w:rPr>
          <w:rFonts w:cs="Calibri"/>
          <w:spacing w:val="-3"/>
        </w:rPr>
        <w:t xml:space="preserve">prohibiciones de disponer </w:t>
      </w:r>
      <w:r w:rsidRPr="00DB5B8E">
        <w:rPr>
          <w:rFonts w:cs="Calibri"/>
          <w:spacing w:val="-3"/>
        </w:rPr>
        <w:t xml:space="preserve">impuestas en </w:t>
      </w:r>
      <w:r w:rsidRPr="00702956">
        <w:rPr>
          <w:rFonts w:cs="Calibri"/>
          <w:i/>
          <w:iCs/>
          <w:spacing w:val="-3"/>
        </w:rPr>
        <w:t>negocios mixtos</w:t>
      </w:r>
      <w:r w:rsidR="00702956">
        <w:rPr>
          <w:rFonts w:cs="Calibri"/>
          <w:spacing w:val="-3"/>
        </w:rPr>
        <w:t xml:space="preserve"> (por ej una donación onerosa). </w:t>
      </w:r>
    </w:p>
    <w:p w:rsidR="00A700D3" w:rsidRPr="00DB5B8E" w:rsidRDefault="00A700D3" w:rsidP="00A700D3">
      <w:pPr>
        <w:ind w:left="900"/>
        <w:rPr>
          <w:rFonts w:cs="Calibri"/>
        </w:rPr>
      </w:pPr>
    </w:p>
    <w:p w:rsidR="003C19BE" w:rsidRPr="00DB5B8E" w:rsidRDefault="003C19BE" w:rsidP="00A23093">
      <w:pPr>
        <w:ind w:left="900"/>
        <w:rPr>
          <w:rFonts w:cs="Calibri"/>
        </w:rPr>
      </w:pPr>
      <w:r w:rsidRPr="00DB5B8E">
        <w:rPr>
          <w:rFonts w:cs="Calibri"/>
          <w:u w:val="single"/>
        </w:rPr>
        <w:t>Que no impliquen prohibición perpetua de enajenar</w:t>
      </w:r>
      <w:r w:rsidRPr="00DB5B8E">
        <w:rPr>
          <w:rFonts w:cs="Calibri"/>
        </w:rPr>
        <w:t>, ni aún la temporal fuera del límite del art. 78</w:t>
      </w:r>
      <w:r w:rsidR="00A700D3">
        <w:rPr>
          <w:rFonts w:cs="Calibri"/>
        </w:rPr>
        <w:t xml:space="preserve">5 </w:t>
      </w:r>
      <w:r w:rsidRPr="00DB5B8E">
        <w:rPr>
          <w:rFonts w:cs="Calibri"/>
        </w:rPr>
        <w:t>Cc (</w:t>
      </w:r>
      <w:r w:rsidR="00A700D3">
        <w:rPr>
          <w:rFonts w:cs="Calibri"/>
        </w:rPr>
        <w:t>por remisión</w:t>
      </w:r>
      <w:r w:rsidRPr="00DB5B8E">
        <w:rPr>
          <w:rFonts w:cs="Calibri"/>
        </w:rPr>
        <w:t xml:space="preserve"> 640</w:t>
      </w:r>
      <w:r w:rsidR="00A700D3">
        <w:rPr>
          <w:rFonts w:cs="Calibri"/>
        </w:rPr>
        <w:t>-</w:t>
      </w:r>
      <w:r w:rsidRPr="00DB5B8E">
        <w:rPr>
          <w:rFonts w:cs="Calibri"/>
        </w:rPr>
        <w:t>641</w:t>
      </w:r>
      <w:r w:rsidR="00A700D3">
        <w:rPr>
          <w:rFonts w:cs="Calibri"/>
        </w:rPr>
        <w:t xml:space="preserve"> Cc)</w:t>
      </w:r>
      <w:r w:rsidRPr="00DB5B8E">
        <w:rPr>
          <w:rFonts w:cs="Calibri"/>
        </w:rPr>
        <w:t>.</w:t>
      </w:r>
    </w:p>
    <w:p w:rsidR="00BB0D25" w:rsidRDefault="00BB0D25" w:rsidP="00A23093">
      <w:pPr>
        <w:ind w:left="1416"/>
        <w:rPr>
          <w:rFonts w:cs="Calibri"/>
          <w:spacing w:val="-3"/>
        </w:rPr>
      </w:pPr>
    </w:p>
    <w:p w:rsidR="00EF3785" w:rsidRPr="00AB7548" w:rsidRDefault="00A700D3" w:rsidP="00AB7548">
      <w:pPr>
        <w:ind w:left="900"/>
        <w:rPr>
          <w:rFonts w:cs="Calibri"/>
          <w:spacing w:val="-3"/>
        </w:rPr>
      </w:pPr>
      <w:r>
        <w:rPr>
          <w:rFonts w:cs="Calibri"/>
        </w:rPr>
        <w:t>Q</w:t>
      </w:r>
      <w:r w:rsidR="003C19BE" w:rsidRPr="00DB5B8E">
        <w:rPr>
          <w:rFonts w:cs="Calibri"/>
          <w:u w:val="single"/>
        </w:rPr>
        <w:t xml:space="preserve">ue exista una causa </w:t>
      </w:r>
      <w:r w:rsidR="00BB0D25">
        <w:rPr>
          <w:rFonts w:cs="Calibri"/>
          <w:u w:val="single"/>
        </w:rPr>
        <w:t>ó</w:t>
      </w:r>
      <w:r w:rsidR="003C19BE" w:rsidRPr="00DB5B8E">
        <w:rPr>
          <w:rFonts w:cs="Calibri"/>
          <w:u w:val="single"/>
        </w:rPr>
        <w:t xml:space="preserve"> razón</w:t>
      </w:r>
      <w:r w:rsidR="00BB0D25">
        <w:rPr>
          <w:rFonts w:cs="Calibri"/>
        </w:rPr>
        <w:t xml:space="preserve"> que </w:t>
      </w:r>
      <w:r w:rsidR="00AB7548">
        <w:rPr>
          <w:rFonts w:cs="Calibri"/>
        </w:rPr>
        <w:t xml:space="preserve">la </w:t>
      </w:r>
      <w:r w:rsidR="00BB0D25">
        <w:rPr>
          <w:rFonts w:cs="Calibri"/>
        </w:rPr>
        <w:t>justifique</w:t>
      </w:r>
      <w:r w:rsidR="00AB7548">
        <w:rPr>
          <w:rFonts w:cs="Calibri"/>
        </w:rPr>
        <w:t>.</w:t>
      </w:r>
    </w:p>
    <w:p w:rsidR="003C19BE" w:rsidRPr="00DB5B8E" w:rsidRDefault="003C19BE" w:rsidP="00A23093">
      <w:pPr>
        <w:rPr>
          <w:rFonts w:cs="Calibri"/>
        </w:rPr>
      </w:pPr>
    </w:p>
    <w:p w:rsidR="00AB7548" w:rsidRDefault="003C19BE" w:rsidP="00AB7548">
      <w:pPr>
        <w:tabs>
          <w:tab w:val="left" w:pos="-720"/>
        </w:tabs>
        <w:rPr>
          <w:rFonts w:cs="Calibri"/>
        </w:rPr>
      </w:pPr>
      <w:r w:rsidRPr="00AB7548">
        <w:rPr>
          <w:rFonts w:cs="Calibri"/>
        </w:rPr>
        <w:t>E</w:t>
      </w:r>
      <w:r w:rsidR="00AB7548" w:rsidRPr="00AB7548">
        <w:rPr>
          <w:rFonts w:cs="Calibri"/>
        </w:rPr>
        <w:t>FECTOS</w:t>
      </w:r>
      <w:r w:rsidRPr="00AB7548">
        <w:rPr>
          <w:rFonts w:cs="Calibri"/>
        </w:rPr>
        <w:t>.</w:t>
      </w:r>
      <w:r w:rsidR="00AB7548">
        <w:rPr>
          <w:rFonts w:cs="Calibri"/>
          <w:b/>
        </w:rPr>
        <w:t xml:space="preserve"> </w:t>
      </w:r>
      <w:r w:rsidRPr="00DB5B8E">
        <w:rPr>
          <w:rFonts w:cs="Calibri"/>
          <w:b/>
        </w:rPr>
        <w:t xml:space="preserve"> </w:t>
      </w:r>
      <w:r w:rsidR="00AB7548" w:rsidRPr="00AB7548">
        <w:rPr>
          <w:rFonts w:cs="Calibri"/>
          <w:iCs/>
        </w:rPr>
        <w:t>I</w:t>
      </w:r>
      <w:r w:rsidR="00CA3F86" w:rsidRPr="00AB7548">
        <w:rPr>
          <w:rFonts w:cs="Calibri"/>
          <w:iCs/>
        </w:rPr>
        <w:t xml:space="preserve">mpide realizar actos </w:t>
      </w:r>
      <w:r w:rsidR="00CA3F86" w:rsidRPr="00AB7548">
        <w:rPr>
          <w:rFonts w:cs="Calibri"/>
          <w:b/>
          <w:iCs/>
        </w:rPr>
        <w:t>dispositivo</w:t>
      </w:r>
      <w:r w:rsidR="00CA3F86" w:rsidRPr="00AB7548">
        <w:rPr>
          <w:rFonts w:cs="Calibri"/>
          <w:iCs/>
        </w:rPr>
        <w:t>s voluntarios</w:t>
      </w:r>
      <w:r w:rsidR="00CA3F86" w:rsidRPr="00AB7548">
        <w:rPr>
          <w:rFonts w:cs="Calibri"/>
          <w:b/>
        </w:rPr>
        <w:t xml:space="preserve"> </w:t>
      </w:r>
      <w:r w:rsidR="00CA3F86" w:rsidRPr="00AB7548">
        <w:rPr>
          <w:rFonts w:cs="Calibri"/>
        </w:rPr>
        <w:t>(transmisión</w:t>
      </w:r>
      <w:r w:rsidR="00AB7548" w:rsidRPr="00AB7548">
        <w:rPr>
          <w:rFonts w:cs="Calibri"/>
        </w:rPr>
        <w:t>/</w:t>
      </w:r>
      <w:r w:rsidR="00CA3F86" w:rsidRPr="00AB7548">
        <w:rPr>
          <w:rFonts w:cs="Calibri"/>
        </w:rPr>
        <w:t>gravamen</w:t>
      </w:r>
      <w:r w:rsidR="00AB7548" w:rsidRPr="00AB7548">
        <w:rPr>
          <w:rFonts w:cs="Calibri"/>
        </w:rPr>
        <w:t>/</w:t>
      </w:r>
      <w:r w:rsidR="00CA3F86" w:rsidRPr="00AB7548">
        <w:rPr>
          <w:rFonts w:cs="Calibri"/>
        </w:rPr>
        <w:t>renuncia)</w:t>
      </w:r>
      <w:r w:rsidR="00AB7548">
        <w:rPr>
          <w:rFonts w:cs="Calibri"/>
        </w:rPr>
        <w:t>:</w:t>
      </w:r>
    </w:p>
    <w:p w:rsidR="00AB7548" w:rsidRDefault="00AB7548" w:rsidP="00AB7548">
      <w:pPr>
        <w:tabs>
          <w:tab w:val="left" w:pos="-720"/>
        </w:tabs>
        <w:rPr>
          <w:rFonts w:cs="Calibri"/>
        </w:rPr>
      </w:pPr>
    </w:p>
    <w:p w:rsidR="00AB7548" w:rsidRPr="005361DD" w:rsidRDefault="00AB7548" w:rsidP="00AB7548">
      <w:pPr>
        <w:ind w:left="1208"/>
        <w:rPr>
          <w:rFonts w:cs="Calibri"/>
        </w:rPr>
      </w:pPr>
      <w:r w:rsidRPr="00AB7548">
        <w:rPr>
          <w:rFonts w:cs="Calibri"/>
        </w:rPr>
        <w:t xml:space="preserve">No impide realizar actos de mera administración ni tampoco </w:t>
      </w:r>
      <w:r w:rsidR="00657A17" w:rsidRPr="00AB7548">
        <w:rPr>
          <w:rFonts w:cs="Calibri"/>
        </w:rPr>
        <w:t>ACTOS DENOMINADOS “DE RIGUROSO DOMINIO</w:t>
      </w:r>
      <w:r w:rsidRPr="00AB7548">
        <w:rPr>
          <w:rFonts w:cs="Calibri"/>
        </w:rPr>
        <w:t>”, que trascienden la mera administración</w:t>
      </w:r>
      <w:r w:rsidRPr="005361DD">
        <w:rPr>
          <w:rFonts w:cs="Calibri"/>
        </w:rPr>
        <w:t xml:space="preserve"> sin </w:t>
      </w:r>
      <w:r>
        <w:rPr>
          <w:rFonts w:cs="Calibri"/>
        </w:rPr>
        <w:t xml:space="preserve">llegar a </w:t>
      </w:r>
      <w:r w:rsidRPr="005361DD">
        <w:rPr>
          <w:rFonts w:cs="Calibri"/>
        </w:rPr>
        <w:t>constituir una disposición (segregaciones/divisiones /agrupaciones/ declaraciones de obra nueva/constitución de propiedad   horizontal)</w:t>
      </w:r>
      <w:r>
        <w:rPr>
          <w:rFonts w:cs="Calibri"/>
        </w:rPr>
        <w:t xml:space="preserve"> porque</w:t>
      </w:r>
      <w:r w:rsidRPr="00765258">
        <w:rPr>
          <w:rFonts w:cs="Calibri"/>
        </w:rPr>
        <w:t xml:space="preserve"> no conllev</w:t>
      </w:r>
      <w:r w:rsidR="006C2CBD">
        <w:rPr>
          <w:rFonts w:cs="Calibri"/>
        </w:rPr>
        <w:t>a</w:t>
      </w:r>
      <w:r w:rsidRPr="00765258">
        <w:rPr>
          <w:rFonts w:cs="Calibri"/>
        </w:rPr>
        <w:t>n cambio de titular</w:t>
      </w:r>
      <w:r w:rsidRPr="005361DD">
        <w:rPr>
          <w:rFonts w:cs="Calibri"/>
        </w:rPr>
        <w:t xml:space="preserve">. </w:t>
      </w:r>
    </w:p>
    <w:p w:rsidR="00AB7548" w:rsidRPr="00AB7548" w:rsidRDefault="00AB7548" w:rsidP="00A23093">
      <w:pPr>
        <w:rPr>
          <w:rFonts w:cs="Calibri"/>
          <w:b/>
        </w:rPr>
      </w:pPr>
    </w:p>
    <w:p w:rsidR="006C2CBD" w:rsidRDefault="00BB0D25" w:rsidP="00A23093">
      <w:pPr>
        <w:ind w:left="1208"/>
        <w:rPr>
          <w:rFonts w:cs="Calibri"/>
        </w:rPr>
      </w:pPr>
      <w:r w:rsidRPr="00AB7548">
        <w:rPr>
          <w:rFonts w:cs="Calibri"/>
        </w:rPr>
        <w:t xml:space="preserve">NO CIERRA EL RP a las </w:t>
      </w:r>
      <w:r w:rsidR="00EB750C" w:rsidRPr="00AB7548">
        <w:rPr>
          <w:rFonts w:cs="Calibri"/>
        </w:rPr>
        <w:t>“ENAJENACI</w:t>
      </w:r>
      <w:r w:rsidRPr="00AB7548">
        <w:rPr>
          <w:rFonts w:cs="Calibri"/>
        </w:rPr>
        <w:t xml:space="preserve">ONES </w:t>
      </w:r>
      <w:r w:rsidR="00EB750C" w:rsidRPr="00AB7548">
        <w:rPr>
          <w:rFonts w:cs="Calibri"/>
        </w:rPr>
        <w:t>FORZOS</w:t>
      </w:r>
      <w:r w:rsidRPr="00AB7548">
        <w:rPr>
          <w:rFonts w:cs="Calibri"/>
        </w:rPr>
        <w:t>A</w:t>
      </w:r>
      <w:r w:rsidR="00EB750C" w:rsidRPr="00AB7548">
        <w:rPr>
          <w:rFonts w:cs="Calibri"/>
        </w:rPr>
        <w:t>S”</w:t>
      </w:r>
      <w:r w:rsidR="00AB7548" w:rsidRPr="00AB7548">
        <w:rPr>
          <w:rFonts w:cs="Calibri"/>
        </w:rPr>
        <w:t xml:space="preserve"> (prevalece el</w:t>
      </w:r>
      <w:r w:rsidR="00EB750C" w:rsidRPr="00AB7548">
        <w:rPr>
          <w:rFonts w:cs="Calibri"/>
        </w:rPr>
        <w:t xml:space="preserve"> </w:t>
      </w:r>
      <w:r w:rsidR="00AB7548" w:rsidRPr="00AB7548">
        <w:rPr>
          <w:rFonts w:cs="Calibri"/>
        </w:rPr>
        <w:t>p</w:t>
      </w:r>
      <w:r w:rsidR="00EB750C" w:rsidRPr="00AB7548">
        <w:rPr>
          <w:rFonts w:cs="Calibri"/>
        </w:rPr>
        <w:t>rincipio de responsabilidad patrimonial universal</w:t>
      </w:r>
      <w:r w:rsidR="00AB7548" w:rsidRPr="00AB7548">
        <w:rPr>
          <w:rFonts w:cs="Calibri"/>
        </w:rPr>
        <w:t xml:space="preserve">, </w:t>
      </w:r>
      <w:r w:rsidR="00EB750C" w:rsidRPr="00AB7548">
        <w:rPr>
          <w:rFonts w:cs="Calibri"/>
        </w:rPr>
        <w:t>1911 Cc</w:t>
      </w:r>
      <w:r w:rsidR="00AB7548" w:rsidRPr="00AB7548">
        <w:rPr>
          <w:rFonts w:cs="Calibri"/>
        </w:rPr>
        <w:t>).</w:t>
      </w:r>
    </w:p>
    <w:p w:rsidR="00765258" w:rsidRPr="00AB7548" w:rsidRDefault="00AB7548" w:rsidP="00A23093">
      <w:pPr>
        <w:ind w:left="1208"/>
        <w:rPr>
          <w:rFonts w:cs="Calibri"/>
        </w:rPr>
      </w:pPr>
      <w:r w:rsidRPr="00AB7548">
        <w:rPr>
          <w:rFonts w:cs="Calibri"/>
        </w:rPr>
        <w:t xml:space="preserve"> </w:t>
      </w:r>
    </w:p>
    <w:p w:rsidR="00765258" w:rsidRPr="00AB7548" w:rsidRDefault="00EB750C" w:rsidP="00AB7548">
      <w:pPr>
        <w:ind w:left="1208"/>
        <w:rPr>
          <w:rFonts w:cs="Calibri"/>
        </w:rPr>
      </w:pPr>
      <w:smartTag w:uri="urn:schemas-microsoft-com:office:smarttags" w:element="PersonName">
        <w:smartTagPr>
          <w:attr w:name="ProductID" w:val="la DG"/>
        </w:smartTagPr>
        <w:r w:rsidRPr="00AB7548">
          <w:rPr>
            <w:rFonts w:cs="Calibri"/>
          </w:rPr>
          <w:t>La DG</w:t>
        </w:r>
      </w:smartTag>
      <w:r w:rsidRPr="00AB7548">
        <w:rPr>
          <w:rFonts w:cs="Calibri"/>
        </w:rPr>
        <w:t xml:space="preserve"> tiene declarado que la prohibición de vender entraña la </w:t>
      </w:r>
      <w:r w:rsidR="00BB0D25" w:rsidRPr="00AB7548">
        <w:rPr>
          <w:rFonts w:cs="Calibri"/>
        </w:rPr>
        <w:t xml:space="preserve">prohibición </w:t>
      </w:r>
      <w:r w:rsidRPr="00AB7548">
        <w:rPr>
          <w:rFonts w:cs="Calibri"/>
        </w:rPr>
        <w:t xml:space="preserve">de hipotecar, </w:t>
      </w:r>
      <w:r w:rsidR="00AB7548" w:rsidRPr="00AB7548">
        <w:rPr>
          <w:rFonts w:cs="Calibri"/>
        </w:rPr>
        <w:t>pero</w:t>
      </w:r>
      <w:r w:rsidR="00BB0D25" w:rsidRPr="00AB7548">
        <w:rPr>
          <w:rFonts w:cs="Calibri"/>
        </w:rPr>
        <w:t xml:space="preserve"> </w:t>
      </w:r>
      <w:r w:rsidRPr="00AB7548">
        <w:rPr>
          <w:rFonts w:cs="Calibri"/>
        </w:rPr>
        <w:t>será inscribible la HIPOTECA</w:t>
      </w:r>
      <w:r w:rsidR="00AB7548" w:rsidRPr="00AB7548">
        <w:rPr>
          <w:rFonts w:cs="Calibri"/>
        </w:rPr>
        <w:t xml:space="preserve"> si</w:t>
      </w:r>
      <w:r w:rsidRPr="00AB7548">
        <w:rPr>
          <w:rFonts w:cs="Calibri"/>
        </w:rPr>
        <w:t xml:space="preserve"> se pact</w:t>
      </w:r>
      <w:r w:rsidR="00AB7548" w:rsidRPr="00AB7548">
        <w:rPr>
          <w:rFonts w:cs="Calibri"/>
        </w:rPr>
        <w:t>a</w:t>
      </w:r>
      <w:r w:rsidRPr="00AB7548">
        <w:rPr>
          <w:rFonts w:cs="Calibri"/>
        </w:rPr>
        <w:t xml:space="preserve"> que </w:t>
      </w:r>
      <w:r w:rsidR="00AB7548" w:rsidRPr="00AB7548">
        <w:rPr>
          <w:rFonts w:cs="Calibri"/>
        </w:rPr>
        <w:t>su</w:t>
      </w:r>
      <w:r w:rsidRPr="00AB7548">
        <w:rPr>
          <w:rFonts w:cs="Calibri"/>
        </w:rPr>
        <w:t xml:space="preserve"> ejecución no será posible mientras la prohibición de vender esté vigente.</w:t>
      </w:r>
    </w:p>
    <w:p w:rsidR="00765258" w:rsidRPr="00AB7548" w:rsidRDefault="00765258" w:rsidP="00A23093">
      <w:pPr>
        <w:pStyle w:val="Prrafodelista"/>
        <w:rPr>
          <w:rFonts w:cs="Calibri"/>
        </w:rPr>
      </w:pPr>
    </w:p>
    <w:p w:rsidR="00657A17" w:rsidRDefault="00EB750C" w:rsidP="00657A17">
      <w:pPr>
        <w:rPr>
          <w:rFonts w:cs="Calibri"/>
          <w:b/>
        </w:rPr>
      </w:pPr>
      <w:r w:rsidRPr="00DB5B8E">
        <w:rPr>
          <w:rFonts w:cs="Calibri"/>
          <w:b/>
          <w:u w:val="single"/>
        </w:rPr>
        <w:t>C</w:t>
      </w:r>
      <w:r w:rsidR="00657A17">
        <w:rPr>
          <w:rFonts w:cs="Calibri"/>
          <w:b/>
          <w:u w:val="single"/>
        </w:rPr>
        <w:t>ONSTANCIA</w:t>
      </w:r>
      <w:r w:rsidRPr="00DB5B8E">
        <w:rPr>
          <w:rFonts w:cs="Calibri"/>
          <w:b/>
          <w:u w:val="single"/>
        </w:rPr>
        <w:t xml:space="preserve"> registral</w:t>
      </w:r>
      <w:r w:rsidR="00657A17">
        <w:rPr>
          <w:rFonts w:cs="Calibri"/>
          <w:b/>
          <w:u w:val="single"/>
        </w:rPr>
        <w:t xml:space="preserve"> y CANCELACIÓN</w:t>
      </w:r>
      <w:r w:rsidRPr="00DB5B8E">
        <w:rPr>
          <w:rFonts w:cs="Calibri"/>
          <w:b/>
        </w:rPr>
        <w:t xml:space="preserve"> </w:t>
      </w:r>
    </w:p>
    <w:p w:rsidR="00657A17" w:rsidRDefault="00657A17" w:rsidP="00657A17">
      <w:pPr>
        <w:rPr>
          <w:rFonts w:cs="Calibri"/>
          <w:b/>
        </w:rPr>
      </w:pPr>
    </w:p>
    <w:p w:rsidR="00765258" w:rsidRDefault="00EB750C" w:rsidP="00657A17">
      <w:pPr>
        <w:rPr>
          <w:rFonts w:cs="Calibri"/>
          <w:spacing w:val="-3"/>
        </w:rPr>
      </w:pPr>
      <w:r w:rsidRPr="00657A17">
        <w:rPr>
          <w:rFonts w:cs="Calibri"/>
          <w:spacing w:val="-3"/>
        </w:rPr>
        <w:t>De ordinario, su acceso al Registro se produce a través de la inscripción del acto que las comprende</w:t>
      </w:r>
      <w:r w:rsidR="00657A17" w:rsidRPr="00657A17">
        <w:rPr>
          <w:rFonts w:cs="Calibri"/>
          <w:spacing w:val="-3"/>
        </w:rPr>
        <w:t xml:space="preserve">. </w:t>
      </w:r>
      <w:r w:rsidR="00765258" w:rsidRPr="00657A17">
        <w:rPr>
          <w:rFonts w:cs="Calibri"/>
          <w:spacing w:val="-3"/>
        </w:rPr>
        <w:t xml:space="preserve"> </w:t>
      </w:r>
      <w:r w:rsidR="00657A17">
        <w:rPr>
          <w:rFonts w:cs="Calibri"/>
          <w:spacing w:val="-3"/>
        </w:rPr>
        <w:t>P</w:t>
      </w:r>
      <w:r w:rsidR="00765258" w:rsidRPr="00657A17">
        <w:rPr>
          <w:rFonts w:cs="Calibri"/>
          <w:spacing w:val="-3"/>
        </w:rPr>
        <w:t>ara que surtan efectos frente a 3ºs</w:t>
      </w:r>
      <w:r w:rsidR="00657A17">
        <w:rPr>
          <w:rFonts w:cs="Calibri"/>
          <w:spacing w:val="-3"/>
        </w:rPr>
        <w:t xml:space="preserve"> </w:t>
      </w:r>
      <w:r w:rsidR="00765258" w:rsidRPr="00657A17">
        <w:rPr>
          <w:rFonts w:cs="Calibri"/>
          <w:spacing w:val="-3"/>
        </w:rPr>
        <w:t xml:space="preserve"> (y no constituyan simples menciones) deberán estar reflejadas “en el acta </w:t>
      </w:r>
      <w:r w:rsidR="00765258">
        <w:rPr>
          <w:rFonts w:cs="Calibri"/>
          <w:spacing w:val="-3"/>
        </w:rPr>
        <w:t>de inscripción”</w:t>
      </w:r>
      <w:r w:rsidR="00657A17">
        <w:rPr>
          <w:rFonts w:cs="Calibri"/>
          <w:spacing w:val="-3"/>
        </w:rPr>
        <w:t xml:space="preserve"> (51.10 RH)</w:t>
      </w:r>
      <w:r w:rsidR="00765258">
        <w:rPr>
          <w:rFonts w:cs="Calibri"/>
          <w:spacing w:val="-3"/>
        </w:rPr>
        <w:t>.</w:t>
      </w:r>
    </w:p>
    <w:p w:rsidR="0028719B" w:rsidRDefault="0028719B" w:rsidP="00A23093">
      <w:pPr>
        <w:tabs>
          <w:tab w:val="left" w:pos="-720"/>
        </w:tabs>
        <w:suppressAutoHyphens/>
        <w:ind w:left="1191"/>
        <w:rPr>
          <w:rFonts w:cs="Calibri"/>
          <w:b/>
        </w:rPr>
      </w:pPr>
    </w:p>
    <w:p w:rsidR="00A700D3" w:rsidRPr="00A700D3" w:rsidRDefault="00A700D3" w:rsidP="00A700D3">
      <w:pPr>
        <w:jc w:val="center"/>
        <w:rPr>
          <w:rFonts w:cs="Calibri"/>
          <w:color w:val="1F497D"/>
        </w:rPr>
      </w:pPr>
      <w:r>
        <w:rPr>
          <w:rFonts w:cs="Calibri"/>
          <w:color w:val="1F497D"/>
        </w:rPr>
        <w:t>E</w:t>
      </w:r>
      <w:r w:rsidR="003C19BE" w:rsidRPr="00A700D3">
        <w:rPr>
          <w:rFonts w:cs="Calibri"/>
          <w:color w:val="1F497D"/>
        </w:rPr>
        <w:t>n act</w:t>
      </w:r>
      <w:r w:rsidR="0091047A" w:rsidRPr="00A700D3">
        <w:rPr>
          <w:rFonts w:cs="Calibri"/>
          <w:color w:val="1F497D"/>
        </w:rPr>
        <w:t>os o contratos a título “ONEROSO</w:t>
      </w:r>
      <w:r w:rsidR="003C19BE" w:rsidRPr="00A700D3">
        <w:rPr>
          <w:rFonts w:cs="Calibri"/>
          <w:color w:val="1F497D"/>
        </w:rPr>
        <w:t>”</w:t>
      </w:r>
    </w:p>
    <w:p w:rsidR="00A700D3" w:rsidRDefault="00A700D3" w:rsidP="00A23093">
      <w:pPr>
        <w:rPr>
          <w:rFonts w:cs="Calibri"/>
          <w:b/>
          <w:color w:val="1F497D"/>
        </w:rPr>
      </w:pPr>
    </w:p>
    <w:p w:rsidR="00D80AE6" w:rsidRPr="00D80AE6" w:rsidRDefault="003C19BE" w:rsidP="006B25A0">
      <w:pPr>
        <w:rPr>
          <w:rFonts w:ascii="Times New Roman" w:eastAsia="Arial" w:hAnsi="Times New Roman"/>
        </w:rPr>
      </w:pPr>
      <w:r w:rsidRPr="0028719B">
        <w:rPr>
          <w:rFonts w:cs="Calibri"/>
          <w:b/>
          <w:bCs/>
        </w:rPr>
        <w:t>27 LH</w:t>
      </w:r>
      <w:r w:rsidRPr="00DB5B8E">
        <w:rPr>
          <w:rFonts w:cs="Calibri"/>
        </w:rPr>
        <w:t xml:space="preserve"> </w:t>
      </w:r>
      <w:r w:rsidR="003F35C5">
        <w:rPr>
          <w:rFonts w:cs="Calibri"/>
        </w:rPr>
        <w:t xml:space="preserve">(ya citado). </w:t>
      </w:r>
      <w:r w:rsidR="00D80AE6" w:rsidRPr="00D80AE6">
        <w:rPr>
          <w:rFonts w:ascii="Times New Roman" w:eastAsia="Arial" w:hAnsi="Times New Roman"/>
        </w:rPr>
        <w:t>Son obligaciones de no disponer que carecen de trascendencia real. Si indebidamente acceden al Registro, se cancelarán conforme al art 98 LH</w:t>
      </w:r>
    </w:p>
    <w:p w:rsidR="003F35C5" w:rsidRPr="00D80AE6" w:rsidRDefault="003F35C5" w:rsidP="00D80AE6">
      <w:pPr>
        <w:spacing w:before="120"/>
        <w:rPr>
          <w:rFonts w:ascii="Times New Roman" w:eastAsia="Arial" w:hAnsi="Times New Roman"/>
        </w:rPr>
      </w:pPr>
    </w:p>
    <w:p w:rsidR="00D80AE6" w:rsidRPr="00DB5B8E" w:rsidRDefault="006B25A0" w:rsidP="00D80AE6">
      <w:pPr>
        <w:ind w:left="680"/>
        <w:rPr>
          <w:rFonts w:cs="Calibri"/>
        </w:rPr>
      </w:pPr>
      <w:r>
        <w:rPr>
          <w:rFonts w:cs="Calibri"/>
        </w:rPr>
        <w:t>Distinto criterio tiene la</w:t>
      </w:r>
      <w:r w:rsidR="00D80AE6" w:rsidRPr="00DB5B8E">
        <w:rPr>
          <w:rFonts w:cs="Calibri"/>
        </w:rPr>
        <w:t xml:space="preserve"> </w:t>
      </w:r>
      <w:r w:rsidR="00D80AE6" w:rsidRPr="006B25A0">
        <w:rPr>
          <w:rFonts w:cs="Calibri"/>
        </w:rPr>
        <w:t xml:space="preserve">Compilación de </w:t>
      </w:r>
      <w:r w:rsidR="00D80AE6" w:rsidRPr="006B25A0">
        <w:rPr>
          <w:rFonts w:cs="Calibri"/>
          <w:b/>
        </w:rPr>
        <w:t>Navarra</w:t>
      </w:r>
      <w:r w:rsidRPr="006B25A0">
        <w:rPr>
          <w:rFonts w:cs="Calibri"/>
        </w:rPr>
        <w:t>,</w:t>
      </w:r>
      <w:r w:rsidR="00D80AE6" w:rsidRPr="00DB5B8E">
        <w:rPr>
          <w:rFonts w:cs="Calibri"/>
        </w:rPr>
        <w:t xml:space="preserve"> </w:t>
      </w:r>
      <w:r>
        <w:rPr>
          <w:rFonts w:cs="Calibri"/>
        </w:rPr>
        <w:t xml:space="preserve">que </w:t>
      </w:r>
      <w:r w:rsidR="00D80AE6" w:rsidRPr="00DB5B8E">
        <w:rPr>
          <w:rFonts w:cs="Calibri"/>
        </w:rPr>
        <w:t>admite la inscripción de las prohibiciones de disponer a título oneroso siempre que exista “</w:t>
      </w:r>
      <w:r w:rsidR="00D80AE6" w:rsidRPr="006B25A0">
        <w:rPr>
          <w:rFonts w:cs="Calibri"/>
        </w:rPr>
        <w:t>convenio expreso</w:t>
      </w:r>
      <w:r w:rsidR="00D80AE6" w:rsidRPr="00DB5B8E">
        <w:rPr>
          <w:rFonts w:cs="Calibri"/>
        </w:rPr>
        <w:t xml:space="preserve">”, </w:t>
      </w:r>
      <w:r>
        <w:rPr>
          <w:rFonts w:cs="Calibri"/>
        </w:rPr>
        <w:t xml:space="preserve">eso sí, limitando su </w:t>
      </w:r>
      <w:r w:rsidR="00D80AE6" w:rsidRPr="006B25A0">
        <w:rPr>
          <w:rFonts w:cs="Calibri"/>
        </w:rPr>
        <w:t xml:space="preserve">eficacia real </w:t>
      </w:r>
      <w:r w:rsidRPr="006B25A0">
        <w:rPr>
          <w:rFonts w:cs="Calibri"/>
        </w:rPr>
        <w:t xml:space="preserve">a </w:t>
      </w:r>
      <w:r w:rsidR="00D80AE6" w:rsidRPr="006B25A0">
        <w:rPr>
          <w:rFonts w:cs="Calibri"/>
        </w:rPr>
        <w:t>4 año</w:t>
      </w:r>
      <w:r w:rsidRPr="006B25A0">
        <w:rPr>
          <w:rFonts w:cs="Calibri"/>
        </w:rPr>
        <w:t>s (ley 482)</w:t>
      </w:r>
      <w:r w:rsidR="00D80AE6" w:rsidRPr="00DB5B8E">
        <w:rPr>
          <w:rFonts w:cs="Calibri"/>
        </w:rPr>
        <w:t>.</w:t>
      </w:r>
    </w:p>
    <w:p w:rsidR="00D80AE6" w:rsidRPr="00DB5B8E" w:rsidRDefault="00D80AE6" w:rsidP="00D80AE6">
      <w:pPr>
        <w:rPr>
          <w:rFonts w:cs="Calibri"/>
          <w:i/>
        </w:rPr>
      </w:pPr>
    </w:p>
    <w:p w:rsidR="00D80AE6" w:rsidRDefault="00D80AE6" w:rsidP="006B25A0">
      <w:pPr>
        <w:ind w:left="680"/>
        <w:rPr>
          <w:rFonts w:cs="Calibri"/>
        </w:rPr>
      </w:pPr>
      <w:r>
        <w:rPr>
          <w:rFonts w:cs="Calibri"/>
        </w:rPr>
        <w:t>S</w:t>
      </w:r>
      <w:r w:rsidRPr="00DB5B8E">
        <w:rPr>
          <w:rFonts w:cs="Calibri"/>
        </w:rPr>
        <w:t>on m</w:t>
      </w:r>
      <w:r>
        <w:rPr>
          <w:rFonts w:cs="Calibri"/>
        </w:rPr>
        <w:t>ucho</w:t>
      </w:r>
      <w:r w:rsidRPr="00DB5B8E">
        <w:rPr>
          <w:rFonts w:cs="Calibri"/>
        </w:rPr>
        <w:t xml:space="preserve">s los autores </w:t>
      </w:r>
      <w:r w:rsidRPr="006B25A0">
        <w:rPr>
          <w:rFonts w:cs="Calibri"/>
        </w:rPr>
        <w:t>que critican la discriminación del trato registral</w:t>
      </w:r>
      <w:r w:rsidRPr="00DB5B8E">
        <w:rPr>
          <w:rFonts w:cs="Calibri"/>
        </w:rPr>
        <w:t xml:space="preserve"> que reciben las </w:t>
      </w:r>
      <w:r>
        <w:rPr>
          <w:rFonts w:cs="Calibri"/>
        </w:rPr>
        <w:t>PD</w:t>
      </w:r>
      <w:r w:rsidRPr="00DB5B8E">
        <w:rPr>
          <w:rFonts w:cs="Calibri"/>
        </w:rPr>
        <w:t xml:space="preserve"> en actos onerosos, toda vez que pueden ser muy útiles en materia de garantías</w:t>
      </w:r>
      <w:r>
        <w:rPr>
          <w:rFonts w:cs="Calibri"/>
        </w:rPr>
        <w:t xml:space="preserve"> (</w:t>
      </w:r>
      <w:r w:rsidR="006B25A0">
        <w:rPr>
          <w:rFonts w:cs="Calibri"/>
        </w:rPr>
        <w:t xml:space="preserve">vg art </w:t>
      </w:r>
      <w:r w:rsidR="006B25A0" w:rsidRPr="006B25A0">
        <w:rPr>
          <w:rFonts w:cs="Calibri"/>
          <w:b/>
        </w:rPr>
        <w:t>15 in fine LVPBM</w:t>
      </w:r>
      <w:r w:rsidR="006B25A0">
        <w:rPr>
          <w:rFonts w:cs="Calibri"/>
        </w:rPr>
        <w:t xml:space="preserve">: </w:t>
      </w:r>
      <w:r w:rsidR="006B25A0" w:rsidRPr="006B25A0">
        <w:rPr>
          <w:rFonts w:cs="Calibri"/>
          <w:i/>
        </w:rPr>
        <w:t xml:space="preserve">El que remate bienes sujetos a prohibición de disponer </w:t>
      </w:r>
      <w:r w:rsidR="006B25A0" w:rsidRPr="00955733">
        <w:rPr>
          <w:rFonts w:cs="Calibri"/>
          <w:i/>
          <w:u w:val="single"/>
        </w:rPr>
        <w:t>inscrita</w:t>
      </w:r>
      <w:r w:rsidR="006B25A0" w:rsidRPr="006B25A0">
        <w:rPr>
          <w:rFonts w:cs="Calibri"/>
          <w:i/>
        </w:rPr>
        <w:t xml:space="preserve"> en el Registro los adquirirá con subsistencia de la obligación de pago garantizada con dicha prohibición, de la que responderá solidariamente con el primitivo deudor</w:t>
      </w:r>
      <w:r>
        <w:rPr>
          <w:rFonts w:ascii="Times New Roman" w:eastAsia="Arial" w:hAnsi="Times New Roman"/>
        </w:rPr>
        <w:t>)</w:t>
      </w:r>
    </w:p>
    <w:p w:rsidR="00D80AE6" w:rsidRPr="00DB5B8E" w:rsidRDefault="00D80AE6" w:rsidP="00D80AE6">
      <w:pPr>
        <w:ind w:left="680"/>
        <w:rPr>
          <w:rFonts w:cs="Calibri"/>
        </w:rPr>
      </w:pPr>
    </w:p>
    <w:p w:rsidR="003C19BE" w:rsidRPr="00DB5B8E" w:rsidRDefault="006B25A0" w:rsidP="006B25A0">
      <w:pPr>
        <w:rPr>
          <w:rFonts w:cs="Calibri"/>
        </w:rPr>
      </w:pPr>
      <w:r>
        <w:rPr>
          <w:rFonts w:cs="Calibri"/>
        </w:rPr>
        <w:t>E</w:t>
      </w:r>
      <w:r w:rsidR="003C19BE" w:rsidRPr="00DB5B8E">
        <w:rPr>
          <w:rFonts w:cs="Calibri"/>
          <w:b/>
        </w:rPr>
        <w:t>l art 57 RH</w:t>
      </w:r>
      <w:r w:rsidR="003C19BE" w:rsidRPr="00DB5B8E">
        <w:rPr>
          <w:rFonts w:cs="Calibri"/>
        </w:rPr>
        <w:t xml:space="preserve"> </w:t>
      </w:r>
      <w:r>
        <w:rPr>
          <w:rFonts w:cs="Calibri"/>
        </w:rPr>
        <w:t>contempla un supuesto de tracto sucesivo abreviado: Se inscribirá</w:t>
      </w:r>
      <w:r w:rsidR="003C19BE" w:rsidRPr="00DB5B8E">
        <w:rPr>
          <w:rFonts w:cs="Calibri"/>
        </w:rPr>
        <w:t xml:space="preserve"> </w:t>
      </w:r>
      <w:r w:rsidR="003C19BE" w:rsidRPr="00DB5B8E">
        <w:rPr>
          <w:rFonts w:cs="Calibri"/>
          <w:u w:val="single"/>
        </w:rPr>
        <w:t>en un mismo asiento registral</w:t>
      </w:r>
      <w:r w:rsidR="003C19BE" w:rsidRPr="00DB5B8E">
        <w:rPr>
          <w:rFonts w:cs="Calibri"/>
        </w:rPr>
        <w:t>:</w:t>
      </w:r>
    </w:p>
    <w:p w:rsidR="003C19BE" w:rsidRPr="00DB5B8E" w:rsidRDefault="003C19BE" w:rsidP="006B25A0">
      <w:pPr>
        <w:ind w:left="1775" w:hanging="709"/>
        <w:rPr>
          <w:rFonts w:cs="Calibri"/>
        </w:rPr>
      </w:pPr>
      <w:r w:rsidRPr="00DB5B8E">
        <w:rPr>
          <w:rFonts w:cs="Calibri"/>
        </w:rPr>
        <w:t>El ACTO o CONTRATO que contenga la prohibición de disponer (no dicha prohibición de disponer</w:t>
      </w:r>
      <w:r w:rsidR="006B25A0">
        <w:rPr>
          <w:rFonts w:cs="Calibri"/>
        </w:rPr>
        <w:t xml:space="preserve">, cuya inscripción se </w:t>
      </w:r>
      <w:r w:rsidRPr="006B25A0">
        <w:rPr>
          <w:rFonts w:cs="Calibri"/>
        </w:rPr>
        <w:t>denegar</w:t>
      </w:r>
      <w:r w:rsidR="006B25A0" w:rsidRPr="006B25A0">
        <w:rPr>
          <w:rFonts w:cs="Calibri"/>
        </w:rPr>
        <w:t>á)</w:t>
      </w:r>
    </w:p>
    <w:p w:rsidR="003C19BE" w:rsidRPr="00DB5B8E" w:rsidRDefault="006B25A0" w:rsidP="006B25A0">
      <w:pPr>
        <w:ind w:left="1775" w:hanging="709"/>
        <w:rPr>
          <w:rFonts w:cs="Calibri"/>
        </w:rPr>
      </w:pPr>
      <w:r>
        <w:rPr>
          <w:rFonts w:cs="Calibri"/>
        </w:rPr>
        <w:t>y</w:t>
      </w:r>
      <w:r w:rsidR="003C19BE" w:rsidRPr="00DB5B8E">
        <w:rPr>
          <w:rFonts w:cs="Calibri"/>
        </w:rPr>
        <w:t xml:space="preserve"> </w:t>
      </w:r>
      <w:smartTag w:uri="urn:schemas-microsoft-com:office:smarttags" w:element="PersonName">
        <w:smartTagPr>
          <w:attr w:name="ProductID" w:val="la HIPOTECA"/>
        </w:smartTagPr>
        <w:r w:rsidR="003C19BE" w:rsidRPr="00DB5B8E">
          <w:rPr>
            <w:rFonts w:cs="Calibri"/>
          </w:rPr>
          <w:t>la HIPOTECA</w:t>
        </w:r>
      </w:smartTag>
      <w:r w:rsidR="003C19BE" w:rsidRPr="00DB5B8E">
        <w:rPr>
          <w:rFonts w:cs="Calibri"/>
        </w:rPr>
        <w:t xml:space="preserve"> que se constituya</w:t>
      </w:r>
      <w:r>
        <w:rPr>
          <w:rFonts w:cs="Calibri"/>
        </w:rPr>
        <w:t xml:space="preserve"> para asegurar su cumplimiento</w:t>
      </w:r>
      <w:r w:rsidR="003C19BE" w:rsidRPr="00DB5B8E">
        <w:rPr>
          <w:rFonts w:cs="Calibri"/>
        </w:rPr>
        <w:t>.</w:t>
      </w:r>
    </w:p>
    <w:p w:rsidR="0028719B" w:rsidRDefault="0028719B" w:rsidP="00A23093">
      <w:pPr>
        <w:rPr>
          <w:rFonts w:cs="Calibri"/>
          <w:b/>
        </w:rPr>
      </w:pPr>
    </w:p>
    <w:p w:rsidR="0028719B" w:rsidRDefault="0028719B" w:rsidP="00A23093">
      <w:pPr>
        <w:rPr>
          <w:rFonts w:cs="Calibri"/>
          <w:b/>
        </w:rPr>
      </w:pPr>
    </w:p>
    <w:p w:rsidR="0091047A" w:rsidRPr="00DB5B8E" w:rsidRDefault="0091047A" w:rsidP="00A23093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91047A" w:rsidRPr="00DB5B8E">
        <w:tc>
          <w:tcPr>
            <w:tcW w:w="9494" w:type="dxa"/>
          </w:tcPr>
          <w:p w:rsidR="0091047A" w:rsidRPr="00DB5B8E" w:rsidRDefault="0091047A" w:rsidP="00A23093">
            <w:pPr>
              <w:jc w:val="center"/>
              <w:rPr>
                <w:rFonts w:cs="Calibri"/>
                <w:b/>
              </w:rPr>
            </w:pPr>
            <w:r w:rsidRPr="00DB5B8E">
              <w:rPr>
                <w:rFonts w:cs="Calibri"/>
                <w:b/>
              </w:rPr>
              <w:t>EL PACTO DE RESERVA DE DOMINIO</w:t>
            </w:r>
          </w:p>
        </w:tc>
      </w:tr>
    </w:tbl>
    <w:p w:rsidR="0091047A" w:rsidRPr="00DB5B8E" w:rsidRDefault="0091047A" w:rsidP="00A23093">
      <w:pPr>
        <w:rPr>
          <w:rFonts w:cs="Calibri"/>
          <w:b/>
          <w:u w:val="single"/>
        </w:rPr>
      </w:pPr>
    </w:p>
    <w:p w:rsidR="003507E7" w:rsidRPr="00FF3300" w:rsidRDefault="00E8265D" w:rsidP="00A23093">
      <w:pPr>
        <w:rPr>
          <w:rFonts w:cs="Calibri"/>
          <w:lang w:val="es-ES_tradnl"/>
        </w:rPr>
      </w:pPr>
      <w:r>
        <w:rPr>
          <w:rFonts w:cs="Calibri"/>
          <w:lang w:val="es-ES_tradnl"/>
        </w:rPr>
        <w:t>E</w:t>
      </w:r>
      <w:r w:rsidR="003507E7" w:rsidRPr="00DB5B8E">
        <w:rPr>
          <w:rFonts w:cs="Calibri"/>
          <w:lang w:val="es-ES_tradnl"/>
        </w:rPr>
        <w:t xml:space="preserve">stipulación añadida </w:t>
      </w:r>
      <w:r w:rsidR="003507E7" w:rsidRPr="00FF3300">
        <w:rPr>
          <w:rFonts w:cs="Calibri"/>
          <w:lang w:val="es-ES_tradnl"/>
        </w:rPr>
        <w:t xml:space="preserve">a una cv por la que las partes acuerdan que la entrega de la cosa NO transmitirá la propiedad de la misma hasta que transcurra un plazo </w:t>
      </w:r>
      <w:r w:rsidR="00405991" w:rsidRPr="00FF3300">
        <w:rPr>
          <w:rFonts w:cs="Calibri"/>
          <w:lang w:val="es-ES_tradnl"/>
        </w:rPr>
        <w:t>ó</w:t>
      </w:r>
      <w:r w:rsidR="003507E7" w:rsidRPr="00FF3300">
        <w:rPr>
          <w:rFonts w:cs="Calibri"/>
          <w:lang w:val="es-ES_tradnl"/>
        </w:rPr>
        <w:t xml:space="preserve"> se cumpla una condición  </w:t>
      </w:r>
      <w:r w:rsidR="00405991" w:rsidRPr="00FF3300">
        <w:rPr>
          <w:rFonts w:cs="Calibri"/>
          <w:lang w:val="es-ES_tradnl"/>
        </w:rPr>
        <w:t xml:space="preserve">(normalmente la condición consiste en el </w:t>
      </w:r>
      <w:r w:rsidR="003507E7" w:rsidRPr="00FF3300">
        <w:rPr>
          <w:rFonts w:cs="Calibri"/>
          <w:lang w:val="es-ES_tradnl"/>
        </w:rPr>
        <w:t>pago de la totalidad del precio aplazado</w:t>
      </w:r>
      <w:r w:rsidR="00405991" w:rsidRPr="00FF3300">
        <w:rPr>
          <w:rFonts w:cs="Calibri"/>
          <w:lang w:val="es-ES_tradnl"/>
        </w:rPr>
        <w:t>)</w:t>
      </w:r>
      <w:r w:rsidR="003507E7" w:rsidRPr="00FF3300">
        <w:rPr>
          <w:rFonts w:cs="Calibri"/>
          <w:lang w:val="es-ES_tradnl"/>
        </w:rPr>
        <w:t>.</w:t>
      </w:r>
    </w:p>
    <w:p w:rsidR="003507E7" w:rsidRPr="00FF3300" w:rsidRDefault="003507E7" w:rsidP="00A23093">
      <w:pPr>
        <w:rPr>
          <w:rFonts w:cs="Calibri"/>
          <w:lang w:val="es-ES_tradnl"/>
        </w:rPr>
      </w:pPr>
    </w:p>
    <w:p w:rsidR="00405991" w:rsidRPr="00FF3300" w:rsidRDefault="003507E7" w:rsidP="00FF3300">
      <w:pPr>
        <w:ind w:left="708"/>
        <w:rPr>
          <w:rFonts w:cs="Calibri"/>
          <w:lang w:val="es-ES_tradnl"/>
        </w:rPr>
      </w:pPr>
      <w:r w:rsidRPr="00FF3300">
        <w:rPr>
          <w:rFonts w:cs="Calibri"/>
          <w:lang w:val="es-ES_tradnl"/>
        </w:rPr>
        <w:t>Tal pacto no está previsto ni regulado en el Cc</w:t>
      </w:r>
      <w:r w:rsidR="00405991" w:rsidRPr="00FF3300">
        <w:rPr>
          <w:rFonts w:cs="Calibri"/>
          <w:lang w:val="es-ES_tradnl"/>
        </w:rPr>
        <w:t>, n</w:t>
      </w:r>
      <w:r w:rsidRPr="00FF3300">
        <w:rPr>
          <w:rFonts w:cs="Calibri"/>
          <w:lang w:val="es-ES_tradnl"/>
        </w:rPr>
        <w:t>i en el Ccom</w:t>
      </w:r>
      <w:r w:rsidR="000B3EA4" w:rsidRPr="00FF3300">
        <w:rPr>
          <w:rFonts w:cs="Calibri"/>
          <w:lang w:val="es-ES_tradnl"/>
        </w:rPr>
        <w:t xml:space="preserve"> (s</w:t>
      </w:r>
      <w:r w:rsidR="00E8265D" w:rsidRPr="00FF3300">
        <w:rPr>
          <w:rFonts w:cs="Calibri"/>
          <w:lang w:val="es-ES_tradnl"/>
        </w:rPr>
        <w:t>í</w:t>
      </w:r>
      <w:r w:rsidR="000B3EA4" w:rsidRPr="00FF3300">
        <w:rPr>
          <w:rFonts w:cs="Calibri"/>
          <w:lang w:val="es-ES_tradnl"/>
        </w:rPr>
        <w:t xml:space="preserve"> en la Comp</w:t>
      </w:r>
      <w:r w:rsidR="00E8265D" w:rsidRPr="00FF3300">
        <w:rPr>
          <w:rFonts w:cs="Calibri"/>
          <w:lang w:val="es-ES_tradnl"/>
        </w:rPr>
        <w:t>ilación</w:t>
      </w:r>
      <w:r w:rsidR="000B3EA4" w:rsidRPr="00FF3300">
        <w:rPr>
          <w:rFonts w:cs="Calibri"/>
          <w:lang w:val="es-ES_tradnl"/>
        </w:rPr>
        <w:t xml:space="preserve"> Navarra y  Cc Cataluña).</w:t>
      </w:r>
      <w:r w:rsidRPr="00FF3300">
        <w:rPr>
          <w:rFonts w:cs="Calibri"/>
          <w:lang w:val="es-ES_tradnl"/>
        </w:rPr>
        <w:t xml:space="preserve"> Pero</w:t>
      </w:r>
      <w:r w:rsidR="000B3EA4" w:rsidRPr="00FF3300">
        <w:rPr>
          <w:rFonts w:cs="Calibri"/>
          <w:lang w:val="es-ES_tradnl"/>
        </w:rPr>
        <w:t xml:space="preserve"> su validez es admitida</w:t>
      </w:r>
      <w:r w:rsidR="00405991" w:rsidRPr="00FF3300">
        <w:rPr>
          <w:rFonts w:cs="Calibri"/>
          <w:lang w:val="es-ES_tradnl"/>
        </w:rPr>
        <w:t xml:space="preserve"> por la </w:t>
      </w:r>
      <w:r w:rsidRPr="00FF3300">
        <w:rPr>
          <w:rFonts w:cs="Calibri"/>
          <w:lang w:val="es-ES_tradnl"/>
        </w:rPr>
        <w:t xml:space="preserve">doctrina </w:t>
      </w:r>
      <w:r w:rsidR="00955733">
        <w:rPr>
          <w:rFonts w:cs="Calibri"/>
          <w:lang w:val="es-ES_tradnl"/>
        </w:rPr>
        <w:t>y</w:t>
      </w:r>
      <w:r w:rsidR="00405991" w:rsidRPr="00FF3300">
        <w:rPr>
          <w:rFonts w:cs="Calibri"/>
          <w:lang w:val="es-ES_tradnl"/>
        </w:rPr>
        <w:t xml:space="preserve"> TS, e</w:t>
      </w:r>
      <w:r w:rsidR="00955733">
        <w:rPr>
          <w:rFonts w:cs="Calibri"/>
          <w:lang w:val="es-ES_tradnl"/>
        </w:rPr>
        <w:t>x</w:t>
      </w:r>
      <w:r w:rsidR="00405991" w:rsidRPr="00FF3300">
        <w:rPr>
          <w:rFonts w:cs="Calibri"/>
          <w:lang w:val="es-ES_tradnl"/>
        </w:rPr>
        <w:t xml:space="preserve"> </w:t>
      </w:r>
      <w:r w:rsidR="00E8265D" w:rsidRPr="00FF3300">
        <w:rPr>
          <w:rFonts w:cs="Calibri"/>
          <w:lang w:val="es-ES_tradnl"/>
        </w:rPr>
        <w:t>1255 Cc</w:t>
      </w:r>
      <w:r w:rsidRPr="00FF3300">
        <w:rPr>
          <w:rFonts w:cs="Calibri"/>
          <w:lang w:val="es-ES_tradnl"/>
        </w:rPr>
        <w:t xml:space="preserve">. </w:t>
      </w:r>
    </w:p>
    <w:p w:rsidR="003507E7" w:rsidRPr="00FF3300" w:rsidRDefault="003507E7" w:rsidP="00FF3300">
      <w:pPr>
        <w:ind w:left="424"/>
        <w:rPr>
          <w:rFonts w:cs="Calibri"/>
          <w:lang w:val="es-ES_tradnl"/>
        </w:rPr>
      </w:pPr>
    </w:p>
    <w:p w:rsidR="003507E7" w:rsidRPr="00FF3300" w:rsidRDefault="003507E7" w:rsidP="00FF3300">
      <w:pPr>
        <w:ind w:left="708"/>
        <w:rPr>
          <w:rFonts w:cs="Calibri"/>
          <w:lang w:val="es-ES_tradnl"/>
        </w:rPr>
      </w:pPr>
      <w:r w:rsidRPr="00FF3300">
        <w:rPr>
          <w:rFonts w:cs="Calibri"/>
          <w:lang w:val="es-ES_tradnl"/>
        </w:rPr>
        <w:t>Su finalidad práctica no es otra cosa que garantizar el pago del precio aplazado, reservándose el vendedor la propiedad de la cosa vendida hasta el íntegro pago de</w:t>
      </w:r>
      <w:r w:rsidR="00405991" w:rsidRPr="00FF3300">
        <w:rPr>
          <w:rFonts w:cs="Calibri"/>
          <w:lang w:val="es-ES_tradnl"/>
        </w:rPr>
        <w:t>l precio aplazado</w:t>
      </w:r>
      <w:r w:rsidRPr="00FF3300">
        <w:rPr>
          <w:rFonts w:cs="Calibri"/>
          <w:lang w:val="es-ES_tradnl"/>
        </w:rPr>
        <w:t>.</w:t>
      </w:r>
    </w:p>
    <w:p w:rsidR="003507E7" w:rsidRPr="00FF3300" w:rsidRDefault="003507E7" w:rsidP="00A23093">
      <w:pPr>
        <w:rPr>
          <w:rFonts w:cs="Calibri"/>
          <w:lang w:val="es-ES_tradnl"/>
        </w:rPr>
      </w:pPr>
    </w:p>
    <w:p w:rsidR="00E94A12" w:rsidRDefault="00FF3300" w:rsidP="00FF3300">
      <w:pPr>
        <w:rPr>
          <w:rFonts w:cs="Calibri"/>
          <w:lang w:val="es-ES_tradnl"/>
        </w:rPr>
      </w:pPr>
      <w:r w:rsidRPr="00FF3300">
        <w:rPr>
          <w:rFonts w:cs="Calibri"/>
          <w:bCs/>
          <w:color w:val="1F497D"/>
          <w:lang w:val="es-ES_tradnl"/>
        </w:rPr>
        <w:t>NATURALEZA JURÍDICA</w:t>
      </w:r>
      <w:r w:rsidR="00405991" w:rsidRPr="00FF3300">
        <w:rPr>
          <w:rFonts w:cs="Calibri"/>
          <w:bCs/>
          <w:color w:val="1F497D"/>
          <w:lang w:val="es-ES_tradnl"/>
        </w:rPr>
        <w:t>.</w:t>
      </w:r>
      <w:r w:rsidR="003507E7" w:rsidRPr="00FF3300">
        <w:rPr>
          <w:rFonts w:cs="Calibri"/>
          <w:lang w:val="es-ES_tradnl"/>
        </w:rPr>
        <w:t xml:space="preserve"> </w:t>
      </w:r>
    </w:p>
    <w:p w:rsidR="00E94A12" w:rsidRDefault="00E94A12" w:rsidP="00FF3300">
      <w:pPr>
        <w:rPr>
          <w:rFonts w:cs="Calibri"/>
          <w:lang w:val="es-ES_tradnl"/>
        </w:rPr>
      </w:pPr>
    </w:p>
    <w:p w:rsidR="00270397" w:rsidRPr="00E86073" w:rsidRDefault="00FF3300" w:rsidP="005828E6">
      <w:pPr>
        <w:ind w:left="708"/>
        <w:rPr>
          <w:rFonts w:cs="Calibri"/>
          <w:lang w:val="es-ES_tradnl"/>
        </w:rPr>
      </w:pPr>
      <w:r w:rsidRPr="00E86073">
        <w:rPr>
          <w:rFonts w:cs="Calibri"/>
          <w:lang w:val="es-ES_tradnl"/>
        </w:rPr>
        <w:t xml:space="preserve">Para </w:t>
      </w:r>
      <w:r w:rsidR="003507E7" w:rsidRPr="00E86073">
        <w:rPr>
          <w:rFonts w:cs="Calibri"/>
          <w:lang w:val="es-ES_tradnl"/>
        </w:rPr>
        <w:t xml:space="preserve">la doctrina mayoritaria y </w:t>
      </w:r>
      <w:r w:rsidRPr="00E86073">
        <w:rPr>
          <w:rFonts w:cs="Calibri"/>
          <w:lang w:val="es-ES_tradnl"/>
        </w:rPr>
        <w:t>jurisprudencia</w:t>
      </w:r>
      <w:r w:rsidR="003507E7" w:rsidRPr="00E86073">
        <w:rPr>
          <w:rFonts w:cs="Calibri"/>
          <w:lang w:val="es-ES_tradnl"/>
        </w:rPr>
        <w:t xml:space="preserve"> </w:t>
      </w:r>
      <w:r w:rsidR="00E94A12" w:rsidRPr="00E86073">
        <w:rPr>
          <w:rFonts w:cs="Calibri"/>
          <w:lang w:val="es-ES_tradnl"/>
        </w:rPr>
        <w:t xml:space="preserve">clásica </w:t>
      </w:r>
      <w:r w:rsidRPr="00E86073">
        <w:rPr>
          <w:rFonts w:cs="Calibri"/>
          <w:lang w:val="es-ES_tradnl"/>
        </w:rPr>
        <w:t>supone</w:t>
      </w:r>
      <w:r w:rsidR="003507E7" w:rsidRPr="00E86073">
        <w:rPr>
          <w:rFonts w:cs="Calibri"/>
          <w:lang w:val="es-ES_tradnl"/>
        </w:rPr>
        <w:t xml:space="preserve"> una </w:t>
      </w:r>
      <w:r w:rsidR="003507E7" w:rsidRPr="00E86073">
        <w:rPr>
          <w:rFonts w:cs="Calibri"/>
          <w:b/>
          <w:lang w:val="es-ES_tradnl"/>
        </w:rPr>
        <w:t>condición suspensiva</w:t>
      </w:r>
      <w:r w:rsidR="003507E7" w:rsidRPr="00E86073">
        <w:rPr>
          <w:rFonts w:cs="Calibri"/>
          <w:lang w:val="es-ES_tradnl"/>
        </w:rPr>
        <w:t xml:space="preserve"> que afecta no a la </w:t>
      </w:r>
      <w:r w:rsidR="00405991" w:rsidRPr="00E86073">
        <w:rPr>
          <w:rFonts w:cs="Calibri"/>
          <w:lang w:val="es-ES_tradnl"/>
        </w:rPr>
        <w:t>“</w:t>
      </w:r>
      <w:r w:rsidR="003507E7" w:rsidRPr="00E86073">
        <w:rPr>
          <w:rFonts w:cs="Calibri"/>
          <w:lang w:val="es-ES_tradnl"/>
        </w:rPr>
        <w:t>perfección del contrato</w:t>
      </w:r>
      <w:r w:rsidR="00405991" w:rsidRPr="00E86073">
        <w:rPr>
          <w:rFonts w:cs="Calibri"/>
          <w:lang w:val="es-ES_tradnl"/>
        </w:rPr>
        <w:t>”</w:t>
      </w:r>
      <w:r w:rsidRPr="00E86073">
        <w:rPr>
          <w:rFonts w:cs="Calibri"/>
          <w:lang w:val="es-ES_tradnl"/>
        </w:rPr>
        <w:t xml:space="preserve"> (la compraventa está  perfeccionada, al concurrir todos sus elementos esenciales) </w:t>
      </w:r>
      <w:r w:rsidR="003507E7" w:rsidRPr="00E86073">
        <w:rPr>
          <w:rFonts w:cs="Calibri"/>
          <w:lang w:val="es-ES_tradnl"/>
        </w:rPr>
        <w:t xml:space="preserve">sino a su </w:t>
      </w:r>
      <w:r w:rsidR="00405991" w:rsidRPr="00E86073">
        <w:rPr>
          <w:rFonts w:cs="Calibri"/>
          <w:lang w:val="es-ES_tradnl"/>
        </w:rPr>
        <w:t>“</w:t>
      </w:r>
      <w:r w:rsidR="003507E7" w:rsidRPr="00E86073">
        <w:rPr>
          <w:rFonts w:cs="Calibri"/>
          <w:lang w:val="es-ES_tradnl"/>
        </w:rPr>
        <w:t>consumación</w:t>
      </w:r>
      <w:r w:rsidR="00405991" w:rsidRPr="00E86073">
        <w:rPr>
          <w:rFonts w:cs="Calibri"/>
          <w:lang w:val="es-ES_tradnl"/>
        </w:rPr>
        <w:t>”</w:t>
      </w:r>
      <w:r w:rsidRPr="00E86073">
        <w:rPr>
          <w:rFonts w:cs="Calibri"/>
          <w:lang w:val="es-ES_tradnl"/>
        </w:rPr>
        <w:t xml:space="preserve"> (</w:t>
      </w:r>
      <w:r w:rsidR="00405991" w:rsidRPr="00E86073">
        <w:rPr>
          <w:rFonts w:cs="Calibri"/>
          <w:lang w:val="es-ES_tradnl"/>
        </w:rPr>
        <w:t>l</w:t>
      </w:r>
      <w:r w:rsidR="003507E7" w:rsidRPr="00E86073">
        <w:rPr>
          <w:rFonts w:cs="Calibri"/>
          <w:lang w:val="es-ES_tradnl"/>
        </w:rPr>
        <w:t xml:space="preserve">a transmisión del dominio queda subordinada al </w:t>
      </w:r>
      <w:r w:rsidR="00405991" w:rsidRPr="00E86073">
        <w:rPr>
          <w:rFonts w:cs="Calibri"/>
          <w:lang w:val="es-ES_tradnl"/>
        </w:rPr>
        <w:t xml:space="preserve">íntegro </w:t>
      </w:r>
      <w:r w:rsidR="003507E7" w:rsidRPr="00E86073">
        <w:rPr>
          <w:rFonts w:cs="Calibri"/>
          <w:lang w:val="es-ES_tradnl"/>
        </w:rPr>
        <w:t>pago del preci</w:t>
      </w:r>
      <w:r w:rsidR="00270397" w:rsidRPr="00E86073">
        <w:rPr>
          <w:rFonts w:cs="Calibri"/>
          <w:lang w:val="es-ES_tradnl"/>
        </w:rPr>
        <w:t>o</w:t>
      </w:r>
      <w:r w:rsidR="00405991" w:rsidRPr="00E86073">
        <w:rPr>
          <w:rFonts w:cs="Calibri"/>
          <w:lang w:val="es-ES_tradnl"/>
        </w:rPr>
        <w:t xml:space="preserve"> aplazado</w:t>
      </w:r>
      <w:r w:rsidRPr="00E86073">
        <w:rPr>
          <w:rFonts w:cs="Calibri"/>
          <w:lang w:val="es-ES_tradnl"/>
        </w:rPr>
        <w:t>)</w:t>
      </w:r>
      <w:r w:rsidR="00405991" w:rsidRPr="00E86073">
        <w:rPr>
          <w:rFonts w:cs="Calibri"/>
          <w:lang w:val="es-ES_tradnl"/>
        </w:rPr>
        <w:t>.</w:t>
      </w:r>
    </w:p>
    <w:p w:rsidR="008B54EA" w:rsidRPr="00E86073" w:rsidRDefault="008B54EA" w:rsidP="005828E6">
      <w:pPr>
        <w:pStyle w:val="Textoindependiente"/>
        <w:tabs>
          <w:tab w:val="left" w:pos="0"/>
        </w:tabs>
        <w:suppressAutoHyphens/>
        <w:ind w:left="708"/>
        <w:rPr>
          <w:rFonts w:cs="Calibri"/>
          <w:b/>
          <w:u w:val="single"/>
          <w:lang w:val="es-ES_tradnl"/>
        </w:rPr>
      </w:pPr>
    </w:p>
    <w:p w:rsidR="00665822" w:rsidRPr="00E86073" w:rsidRDefault="00665822" w:rsidP="005828E6">
      <w:pPr>
        <w:ind w:left="1416"/>
        <w:rPr>
          <w:rFonts w:cs="Calibri"/>
          <w:lang w:val="es-ES_tradnl"/>
        </w:rPr>
      </w:pPr>
      <w:r w:rsidRPr="00E86073">
        <w:rPr>
          <w:rFonts w:cs="Calibri"/>
          <w:lang w:val="es-ES_tradnl"/>
        </w:rPr>
        <w:t>La RDGRN 24 de enero 2005 permite el embargo del derecho del comprador pero no de su (pretendido) derecho de propiedad puesto que éste sigue siendo del vendedor.</w:t>
      </w:r>
    </w:p>
    <w:p w:rsidR="00665822" w:rsidRPr="00E86073" w:rsidRDefault="00665822" w:rsidP="005828E6">
      <w:pPr>
        <w:pStyle w:val="Textoindependiente"/>
        <w:tabs>
          <w:tab w:val="left" w:pos="0"/>
        </w:tabs>
        <w:suppressAutoHyphens/>
        <w:ind w:left="708"/>
        <w:rPr>
          <w:rFonts w:cs="Calibri"/>
          <w:b/>
          <w:u w:val="single"/>
          <w:lang w:val="es-ES_tradnl"/>
        </w:rPr>
      </w:pPr>
    </w:p>
    <w:p w:rsidR="00665822" w:rsidRPr="00E86073" w:rsidRDefault="00665822" w:rsidP="005828E6">
      <w:pPr>
        <w:ind w:left="708"/>
        <w:rPr>
          <w:rFonts w:cs="Calibri"/>
          <w:lang w:val="es-ES_tradnl"/>
        </w:rPr>
      </w:pPr>
      <w:r w:rsidRPr="00E86073">
        <w:rPr>
          <w:rFonts w:cs="Calibri"/>
          <w:lang w:val="es-ES_tradnl"/>
        </w:rPr>
        <w:t xml:space="preserve">Modernamente BERCOVITZ considera que estamos ante una venta sujeta a </w:t>
      </w:r>
      <w:r w:rsidRPr="00E86073">
        <w:rPr>
          <w:rFonts w:cs="Calibri"/>
          <w:b/>
          <w:lang w:val="es-ES_tradnl"/>
        </w:rPr>
        <w:t>condición resolutoria</w:t>
      </w:r>
      <w:r w:rsidRPr="00E86073">
        <w:rPr>
          <w:rFonts w:cs="Calibri"/>
          <w:lang w:val="es-ES_tradnl"/>
        </w:rPr>
        <w:t xml:space="preserve">. Es decir, el comprador adquiere el dominio y si impaga, se resuelve la venta. </w:t>
      </w:r>
      <w:r w:rsidR="00E94A12" w:rsidRPr="00E86073">
        <w:rPr>
          <w:rFonts w:cs="Calibri"/>
          <w:lang w:val="es-ES_tradnl"/>
        </w:rPr>
        <w:t xml:space="preserve"> Argumentos:</w:t>
      </w:r>
    </w:p>
    <w:p w:rsidR="00665822" w:rsidRPr="00E86073" w:rsidRDefault="00665822" w:rsidP="005828E6">
      <w:pPr>
        <w:ind w:left="1416"/>
        <w:rPr>
          <w:rFonts w:cs="Calibri"/>
          <w:lang w:val="es-ES_tradnl"/>
        </w:rPr>
      </w:pPr>
    </w:p>
    <w:p w:rsidR="00665822" w:rsidRPr="00E86073" w:rsidRDefault="00665822" w:rsidP="005828E6">
      <w:pPr>
        <w:ind w:left="2124"/>
        <w:rPr>
          <w:rFonts w:cs="Calibri"/>
          <w:lang w:val="es-ES_tradnl"/>
        </w:rPr>
      </w:pPr>
      <w:r w:rsidRPr="00E86073">
        <w:rPr>
          <w:rFonts w:cs="Calibri"/>
          <w:lang w:val="es-ES_tradnl"/>
        </w:rPr>
        <w:t xml:space="preserve">El art. 90 Ley Concursal </w:t>
      </w:r>
      <w:r w:rsidR="00E94A12" w:rsidRPr="00E86073">
        <w:rPr>
          <w:rFonts w:cs="Calibri"/>
          <w:lang w:val="es-ES_tradnl"/>
        </w:rPr>
        <w:t>considera</w:t>
      </w:r>
      <w:r w:rsidRPr="00E86073">
        <w:rPr>
          <w:rFonts w:cs="Calibri"/>
          <w:lang w:val="es-ES_tradnl"/>
        </w:rPr>
        <w:t xml:space="preserve"> “</w:t>
      </w:r>
      <w:r w:rsidRPr="00955733">
        <w:rPr>
          <w:rFonts w:cs="Calibri"/>
          <w:i/>
          <w:lang w:val="es-ES_tradnl"/>
        </w:rPr>
        <w:t>acreedor</w:t>
      </w:r>
      <w:r w:rsidRPr="00E86073">
        <w:rPr>
          <w:rFonts w:cs="Calibri"/>
          <w:lang w:val="es-ES_tradnl"/>
        </w:rPr>
        <w:t>”</w:t>
      </w:r>
      <w:r w:rsidR="00E94A12" w:rsidRPr="00E86073">
        <w:rPr>
          <w:rFonts w:cs="Calibri"/>
          <w:lang w:val="es-ES_tradnl"/>
        </w:rPr>
        <w:t xml:space="preserve"> con </w:t>
      </w:r>
      <w:r w:rsidRPr="00E86073">
        <w:rPr>
          <w:rFonts w:cs="Calibri"/>
          <w:lang w:val="es-ES_tradnl"/>
        </w:rPr>
        <w:t>privilegi</w:t>
      </w:r>
      <w:r w:rsidR="00E94A12" w:rsidRPr="00E86073">
        <w:rPr>
          <w:rFonts w:cs="Calibri"/>
          <w:lang w:val="es-ES_tradnl"/>
        </w:rPr>
        <w:t xml:space="preserve">o especial </w:t>
      </w:r>
      <w:r w:rsidRPr="00E86073">
        <w:rPr>
          <w:rFonts w:cs="Calibri"/>
          <w:lang w:val="es-ES_tradnl"/>
        </w:rPr>
        <w:t xml:space="preserve">al vendedor </w:t>
      </w:r>
      <w:r w:rsidR="00E94A12" w:rsidRPr="00E86073">
        <w:rPr>
          <w:rFonts w:cs="Calibri"/>
          <w:lang w:val="es-ES_tradnl"/>
        </w:rPr>
        <w:t xml:space="preserve">que vendió </w:t>
      </w:r>
      <w:r w:rsidRPr="00E86073">
        <w:rPr>
          <w:rFonts w:cs="Calibri"/>
          <w:lang w:val="es-ES_tradnl"/>
        </w:rPr>
        <w:t>al comprador concursado</w:t>
      </w:r>
      <w:r w:rsidR="00E94A12" w:rsidRPr="00E86073">
        <w:rPr>
          <w:rFonts w:cs="Calibri"/>
          <w:lang w:val="es-ES_tradnl"/>
        </w:rPr>
        <w:t xml:space="preserve"> que compró con pacto de</w:t>
      </w:r>
      <w:r w:rsidRPr="00E86073">
        <w:rPr>
          <w:rFonts w:cs="Calibri"/>
          <w:lang w:val="es-ES_tradnl"/>
        </w:rPr>
        <w:t xml:space="preserve"> reserva de dominio. </w:t>
      </w:r>
    </w:p>
    <w:p w:rsidR="00E94A12" w:rsidRPr="00E86073" w:rsidRDefault="00E94A12" w:rsidP="005828E6">
      <w:pPr>
        <w:ind w:left="2124"/>
        <w:rPr>
          <w:rFonts w:cs="Calibri"/>
          <w:lang w:val="es-ES_tradnl"/>
        </w:rPr>
      </w:pPr>
    </w:p>
    <w:p w:rsidR="00665822" w:rsidRPr="00E86073" w:rsidRDefault="00E94A12" w:rsidP="005828E6">
      <w:pPr>
        <w:ind w:left="2124"/>
        <w:rPr>
          <w:rFonts w:cs="Calibri"/>
          <w:lang w:val="es-ES_tradnl"/>
        </w:rPr>
      </w:pPr>
      <w:r w:rsidRPr="00E86073">
        <w:rPr>
          <w:rFonts w:cs="Calibri"/>
          <w:lang w:val="es-ES_tradnl"/>
        </w:rPr>
        <w:t>Aunque la</w:t>
      </w:r>
      <w:r w:rsidR="00665822" w:rsidRPr="00E86073">
        <w:rPr>
          <w:rFonts w:cs="Calibri"/>
          <w:lang w:val="es-ES_tradnl"/>
        </w:rPr>
        <w:t xml:space="preserve"> jurisprudencia del TS ha sostenido una u otra teoría</w:t>
      </w:r>
      <w:r w:rsidRPr="00E86073">
        <w:rPr>
          <w:rFonts w:cs="Calibri"/>
          <w:lang w:val="es-ES_tradnl"/>
        </w:rPr>
        <w:t xml:space="preserve">, </w:t>
      </w:r>
      <w:r w:rsidR="00665822" w:rsidRPr="00E86073">
        <w:rPr>
          <w:rFonts w:cs="Calibri"/>
          <w:lang w:val="es-ES_tradnl"/>
        </w:rPr>
        <w:t>la RDGRN 4 diciembre 2010 considera que el pacto de reserva de dominio equivale sustancialmente a la situación que crea la condición resolutoria explícita del art. 1504 Cc y 11 LH.</w:t>
      </w:r>
    </w:p>
    <w:p w:rsidR="00E94A12" w:rsidRPr="00E86073" w:rsidRDefault="00E94A12" w:rsidP="005828E6">
      <w:pPr>
        <w:ind w:left="2124"/>
        <w:rPr>
          <w:rFonts w:cs="Calibri"/>
          <w:lang w:val="es-ES_tradnl"/>
        </w:rPr>
      </w:pPr>
    </w:p>
    <w:p w:rsidR="00E94A12" w:rsidRPr="00E86073" w:rsidRDefault="00E94A12" w:rsidP="005828E6">
      <w:pPr>
        <w:widowControl w:val="0"/>
        <w:suppressAutoHyphens/>
        <w:spacing w:before="120" w:after="120"/>
        <w:ind w:left="708"/>
        <w:rPr>
          <w:rFonts w:eastAsia="Arial Unicode MS" w:cs="Calibri"/>
          <w:kern w:val="1"/>
        </w:rPr>
      </w:pPr>
      <w:r w:rsidRPr="00E86073">
        <w:rPr>
          <w:rFonts w:eastAsia="Arial Unicode MS" w:cs="Calibri"/>
          <w:kern w:val="1"/>
        </w:rPr>
        <w:t>Diferencias entre una y otra teoría</w:t>
      </w:r>
      <w:r w:rsidR="005828E6" w:rsidRPr="00E86073">
        <w:rPr>
          <w:rFonts w:eastAsia="Arial Unicode MS" w:cs="Calibri"/>
          <w:kern w:val="1"/>
        </w:rPr>
        <w:t>:</w:t>
      </w:r>
      <w:r w:rsidRPr="00E86073">
        <w:rPr>
          <w:rFonts w:eastAsia="Arial Unicode MS" w:cs="Calibri"/>
          <w:kern w:val="1"/>
        </w:rPr>
        <w:t xml:space="preserve"> </w:t>
      </w:r>
    </w:p>
    <w:p w:rsidR="00E94A12" w:rsidRPr="00E86073" w:rsidRDefault="00E94A12" w:rsidP="005828E6">
      <w:pPr>
        <w:widowControl w:val="0"/>
        <w:suppressAutoHyphens/>
        <w:spacing w:before="120" w:after="120"/>
        <w:ind w:left="1416"/>
        <w:rPr>
          <w:rFonts w:eastAsia="Arial Unicode MS" w:cs="Calibri"/>
          <w:kern w:val="1"/>
        </w:rPr>
      </w:pPr>
      <w:r w:rsidRPr="00E86073">
        <w:rPr>
          <w:rFonts w:eastAsia="Arial Unicode MS" w:cs="Calibri"/>
          <w:kern w:val="1"/>
        </w:rPr>
        <w:t xml:space="preserve">Para  la  teoría  clásica es el vendedor (no el comprador) quien podrá (sub conditione) transmitir </w:t>
      </w:r>
      <w:r w:rsidR="00955733">
        <w:rPr>
          <w:rFonts w:eastAsia="Arial Unicode MS" w:cs="Calibri"/>
          <w:kern w:val="1"/>
        </w:rPr>
        <w:t>el</w:t>
      </w:r>
      <w:r w:rsidRPr="00E86073">
        <w:rPr>
          <w:rFonts w:eastAsia="Arial Unicode MS" w:cs="Calibri"/>
          <w:kern w:val="1"/>
        </w:rPr>
        <w:t xml:space="preserve"> dominio. Para Bercovitz, justo al revés.</w:t>
      </w:r>
    </w:p>
    <w:p w:rsidR="00665822" w:rsidRPr="00E86073" w:rsidRDefault="00E94A12" w:rsidP="005828E6">
      <w:pPr>
        <w:widowControl w:val="0"/>
        <w:suppressAutoHyphens/>
        <w:spacing w:before="120" w:after="120"/>
        <w:ind w:left="1416"/>
        <w:rPr>
          <w:rFonts w:eastAsia="Arial Unicode MS" w:cs="Calibri"/>
          <w:kern w:val="1"/>
        </w:rPr>
      </w:pPr>
      <w:r w:rsidRPr="00E86073">
        <w:rPr>
          <w:rFonts w:eastAsia="Arial Unicode MS" w:cs="Calibri"/>
          <w:kern w:val="1"/>
        </w:rPr>
        <w:t>La aplicabilidad de los arts 1504 Cc y 11 LH sólo resulta evidente para la teoría de Bercovitz</w:t>
      </w:r>
    </w:p>
    <w:p w:rsidR="005828E6" w:rsidRDefault="005828E6" w:rsidP="00A23093">
      <w:pPr>
        <w:pStyle w:val="Textoindependiente"/>
        <w:tabs>
          <w:tab w:val="left" w:pos="0"/>
        </w:tabs>
        <w:suppressAutoHyphens/>
        <w:rPr>
          <w:rFonts w:cs="Calibri"/>
          <w:color w:val="1F497D"/>
          <w:lang w:val="es-ES_tradnl"/>
        </w:rPr>
      </w:pPr>
    </w:p>
    <w:p w:rsidR="00BD4B58" w:rsidRPr="00FF3300" w:rsidRDefault="00FF3300" w:rsidP="00FF3300">
      <w:pPr>
        <w:pStyle w:val="Textoindependiente"/>
        <w:tabs>
          <w:tab w:val="left" w:pos="0"/>
        </w:tabs>
        <w:suppressAutoHyphens/>
      </w:pPr>
      <w:r w:rsidRPr="00FF3300">
        <w:rPr>
          <w:rFonts w:cs="Calibri"/>
          <w:color w:val="1F497D"/>
          <w:lang w:val="es-ES_tradnl"/>
        </w:rPr>
        <w:t>ADMISIBILIDAD DE SU INSCRIPCIÓN</w:t>
      </w:r>
      <w:r w:rsidR="00943A0C" w:rsidRPr="00BD4B58">
        <w:rPr>
          <w:rFonts w:cs="Calibri"/>
          <w:b/>
          <w:color w:val="1F497D"/>
          <w:lang w:val="es-ES_tradnl"/>
        </w:rPr>
        <w:t>.-</w:t>
      </w:r>
      <w:r w:rsidR="00BD4B58">
        <w:rPr>
          <w:rFonts w:cs="Calibri"/>
          <w:spacing w:val="-3"/>
          <w:lang w:val="es-ES_tradnl"/>
        </w:rPr>
        <w:t xml:space="preserve"> </w:t>
      </w:r>
      <w:r w:rsidR="00955733">
        <w:rPr>
          <w:rFonts w:cs="Calibri"/>
          <w:spacing w:val="-3"/>
          <w:lang w:val="es-ES_tradnl"/>
        </w:rPr>
        <w:t>L</w:t>
      </w:r>
      <w:r w:rsidR="00BD4B58" w:rsidRPr="00FF3300">
        <w:t>a doctrina más reciente</w:t>
      </w:r>
      <w:r>
        <w:t xml:space="preserve"> (</w:t>
      </w:r>
      <w:r w:rsidRPr="00FF3300">
        <w:t>AMORÓS GUARDIOLA</w:t>
      </w:r>
      <w:r>
        <w:t>)</w:t>
      </w:r>
      <w:r w:rsidR="00BD4B58" w:rsidRPr="00FF3300">
        <w:t xml:space="preserve"> admite su inscripción</w:t>
      </w:r>
      <w:r>
        <w:t xml:space="preserve"> porque</w:t>
      </w:r>
      <w:r w:rsidR="00BD4B58" w:rsidRPr="00FF3300">
        <w:t>:</w:t>
      </w:r>
    </w:p>
    <w:p w:rsidR="0018581E" w:rsidRPr="00FF3300" w:rsidRDefault="00FF3300" w:rsidP="00FF3300">
      <w:pPr>
        <w:pStyle w:val="Textoindependiente"/>
        <w:tabs>
          <w:tab w:val="left" w:pos="0"/>
        </w:tabs>
        <w:suppressAutoHyphens/>
        <w:ind w:left="708"/>
      </w:pPr>
      <w:r>
        <w:t>E</w:t>
      </w:r>
      <w:r w:rsidRPr="00FF3300">
        <w:t>l art 11 de la LH NO contiene una enumeración cerrada de las garantías reales</w:t>
      </w:r>
      <w:r>
        <w:t xml:space="preserve"> </w:t>
      </w:r>
      <w:r w:rsidR="004474DA">
        <w:t xml:space="preserve">(cfr. art 27 LH </w:t>
      </w:r>
      <w:r w:rsidR="004474DA" w:rsidRPr="004474DA">
        <w:rPr>
          <w:i/>
        </w:rPr>
        <w:t xml:space="preserve">“sin perjuicio de que mediante hipoteca o </w:t>
      </w:r>
      <w:r w:rsidR="004474DA" w:rsidRPr="00955733">
        <w:rPr>
          <w:i/>
          <w:u w:val="single"/>
        </w:rPr>
        <w:t>cualquiera otra forma</w:t>
      </w:r>
      <w:r w:rsidR="004474DA" w:rsidRPr="004474DA">
        <w:rPr>
          <w:i/>
        </w:rPr>
        <w:t xml:space="preserve"> de garantía real...”</w:t>
      </w:r>
      <w:r w:rsidR="004474DA">
        <w:t xml:space="preserve">) </w:t>
      </w:r>
      <w:r>
        <w:t xml:space="preserve">y </w:t>
      </w:r>
      <w:r w:rsidR="004474DA">
        <w:t xml:space="preserve">en cualquier caso </w:t>
      </w:r>
      <w:r w:rsidR="00BD4B58" w:rsidRPr="00FF3300">
        <w:t>el art 23</w:t>
      </w:r>
      <w:r w:rsidR="0018581E" w:rsidRPr="00FF3300">
        <w:t xml:space="preserve"> LH</w:t>
      </w:r>
      <w:r w:rsidR="00BD4B58" w:rsidRPr="00FF3300">
        <w:t xml:space="preserve"> permite la la inscripción de actos sujetos a condiciones suspensivas</w:t>
      </w:r>
      <w:r>
        <w:t>/</w:t>
      </w:r>
      <w:r w:rsidR="0018581E" w:rsidRPr="00FF3300">
        <w:t>r</w:t>
      </w:r>
      <w:r w:rsidR="00BD4B58" w:rsidRPr="00FF3300">
        <w:t>esolutorias</w:t>
      </w:r>
      <w:r w:rsidR="0018581E" w:rsidRPr="00FF3300">
        <w:t>.</w:t>
      </w:r>
    </w:p>
    <w:p w:rsidR="00FF3300" w:rsidRDefault="00FF3300" w:rsidP="00FF3300">
      <w:pPr>
        <w:pStyle w:val="Textoindependiente"/>
        <w:tabs>
          <w:tab w:val="left" w:pos="0"/>
        </w:tabs>
        <w:suppressAutoHyphens/>
        <w:ind w:left="708"/>
      </w:pPr>
      <w:r>
        <w:t>Es útil (para</w:t>
      </w:r>
      <w:r w:rsidR="0018581E" w:rsidRPr="00FF3300">
        <w:t xml:space="preserve"> proteger el derecho del </w:t>
      </w:r>
      <w:r>
        <w:t>vendedor)  y asi lo reconoce y admite la LVPBM</w:t>
      </w:r>
    </w:p>
    <w:p w:rsidR="004474DA" w:rsidRDefault="00BD4B58" w:rsidP="004474DA">
      <w:pPr>
        <w:pStyle w:val="Textoindependiente"/>
        <w:tabs>
          <w:tab w:val="left" w:pos="0"/>
        </w:tabs>
        <w:suppressAutoHyphens/>
        <w:ind w:left="708"/>
        <w:rPr>
          <w:rFonts w:cs="Courier New"/>
        </w:rPr>
      </w:pPr>
      <w:r w:rsidRPr="00BD4B58">
        <w:rPr>
          <w:rFonts w:cs="Courier New"/>
        </w:rPr>
        <w:t>G</w:t>
      </w:r>
      <w:r>
        <w:rPr>
          <w:rFonts w:cs="Courier New"/>
        </w:rPr>
        <w:t>OMEZ GALLIGO</w:t>
      </w:r>
      <w:r w:rsidRPr="00BD4B58">
        <w:rPr>
          <w:rFonts w:cs="Courier New"/>
        </w:rPr>
        <w:t xml:space="preserve"> aboga por una reforma que admita claramente la inscripción del d</w:t>
      </w:r>
      <w:r>
        <w:rPr>
          <w:rFonts w:cs="Courier New"/>
        </w:rPr>
        <w:t>º</w:t>
      </w:r>
      <w:r w:rsidRPr="00BD4B58">
        <w:rPr>
          <w:rFonts w:cs="Courier New"/>
        </w:rPr>
        <w:t xml:space="preserve"> del comprador</w:t>
      </w:r>
      <w:r w:rsidR="004474DA">
        <w:rPr>
          <w:rFonts w:cs="Courier New"/>
        </w:rPr>
        <w:t xml:space="preserve"> porque:</w:t>
      </w:r>
    </w:p>
    <w:p w:rsidR="004474DA" w:rsidRDefault="00BD4B58" w:rsidP="004474DA">
      <w:pPr>
        <w:pStyle w:val="Textoindependiente"/>
        <w:tabs>
          <w:tab w:val="left" w:pos="0"/>
        </w:tabs>
        <w:suppressAutoHyphens/>
        <w:ind w:left="1416"/>
        <w:rPr>
          <w:rFonts w:cs="Calibri"/>
          <w:lang w:val="es-ES_tradnl"/>
        </w:rPr>
      </w:pPr>
      <w:r w:rsidRPr="00BD4B58">
        <w:rPr>
          <w:rFonts w:cs="Courier New"/>
        </w:rPr>
        <w:t xml:space="preserve">aunque </w:t>
      </w:r>
      <w:r>
        <w:rPr>
          <w:rFonts w:cs="Courier New"/>
        </w:rPr>
        <w:t xml:space="preserve">este dº sea personal </w:t>
      </w:r>
      <w:r w:rsidRPr="00665822">
        <w:rPr>
          <w:rFonts w:cs="Courier New"/>
          <w:i/>
        </w:rPr>
        <w:t>puede llegar a producir una modificación jurídico-real</w:t>
      </w:r>
      <w:r w:rsidR="004474DA">
        <w:rPr>
          <w:rFonts w:cs="Courier New"/>
        </w:rPr>
        <w:t xml:space="preserve">, </w:t>
      </w:r>
      <w:r w:rsidR="004474DA" w:rsidRPr="004474DA">
        <w:rPr>
          <w:rFonts w:cs="Courier New"/>
          <w:lang w:val="es-ES_tradnl"/>
        </w:rPr>
        <w:t xml:space="preserve">RDGRN de 4 dic 2010 </w:t>
      </w:r>
      <w:r w:rsidR="004474DA">
        <w:rPr>
          <w:rFonts w:cs="Courier New"/>
        </w:rPr>
        <w:t xml:space="preserve">(por tanto, </w:t>
      </w:r>
      <w:r w:rsidR="000B3EA4">
        <w:rPr>
          <w:rFonts w:cs="Calibri"/>
          <w:lang w:val="es-ES_tradnl"/>
        </w:rPr>
        <w:t>este pacto,</w:t>
      </w:r>
      <w:r w:rsidR="000B3EA4" w:rsidRPr="00DB5B8E">
        <w:rPr>
          <w:rFonts w:cs="Calibri"/>
          <w:lang w:val="es-ES_tradnl"/>
        </w:rPr>
        <w:t xml:space="preserve"> sin inscripción </w:t>
      </w:r>
      <w:r w:rsidR="004474DA">
        <w:rPr>
          <w:rFonts w:cs="Calibri"/>
          <w:lang w:val="es-ES_tradnl"/>
        </w:rPr>
        <w:t xml:space="preserve">en el RP </w:t>
      </w:r>
      <w:r w:rsidR="000B3EA4" w:rsidRPr="00DB5B8E">
        <w:rPr>
          <w:rFonts w:cs="Calibri"/>
          <w:lang w:val="es-ES_tradnl"/>
        </w:rPr>
        <w:t>carece de eficacia frente a 3ºs</w:t>
      </w:r>
      <w:r w:rsidR="004474DA">
        <w:rPr>
          <w:rFonts w:cs="Calibri"/>
          <w:lang w:val="es-ES_tradnl"/>
        </w:rPr>
        <w:t>)</w:t>
      </w:r>
    </w:p>
    <w:p w:rsidR="000B3EA4" w:rsidRPr="000B3EA4" w:rsidRDefault="004474DA" w:rsidP="004474DA">
      <w:pPr>
        <w:pStyle w:val="Textoindependiente"/>
        <w:tabs>
          <w:tab w:val="left" w:pos="0"/>
        </w:tabs>
        <w:suppressAutoHyphens/>
        <w:ind w:left="1416"/>
        <w:rPr>
          <w:rFonts w:cs="Calibri"/>
          <w:lang w:val="es-ES_tradnl"/>
        </w:rPr>
      </w:pPr>
      <w:r>
        <w:rPr>
          <w:rFonts w:cs="Calibri"/>
          <w:lang w:val="es-ES_tradnl"/>
        </w:rPr>
        <w:t xml:space="preserve">eso sí, </w:t>
      </w:r>
      <w:r w:rsidR="000B3EA4" w:rsidRPr="000B3EA4">
        <w:rPr>
          <w:rFonts w:cs="Calibri"/>
          <w:lang w:val="es-ES_tradnl"/>
        </w:rPr>
        <w:t xml:space="preserve">debe </w:t>
      </w:r>
      <w:r>
        <w:rPr>
          <w:rFonts w:cs="Calibri"/>
          <w:lang w:val="es-ES_tradnl"/>
        </w:rPr>
        <w:t xml:space="preserve">pactarse, en negocios a título oneroso o gratuito, con </w:t>
      </w:r>
      <w:r w:rsidRPr="00955733">
        <w:rPr>
          <w:rFonts w:cs="Calibri"/>
          <w:b/>
          <w:lang w:val="es-ES_tradnl"/>
        </w:rPr>
        <w:t>plazo de duración</w:t>
      </w:r>
      <w:r>
        <w:rPr>
          <w:rFonts w:cs="Calibri"/>
          <w:lang w:val="es-ES_tradnl"/>
        </w:rPr>
        <w:t>.</w:t>
      </w:r>
      <w:r w:rsidR="000B3EA4" w:rsidRPr="000B3EA4">
        <w:rPr>
          <w:rFonts w:cs="Calibri"/>
          <w:lang w:val="es-ES_tradnl"/>
        </w:rPr>
        <w:t xml:space="preserve"> </w:t>
      </w:r>
    </w:p>
    <w:p w:rsidR="00BD4B58" w:rsidRPr="00BD4B58" w:rsidRDefault="00BD4B58" w:rsidP="00A23093">
      <w:pPr>
        <w:pStyle w:val="Textoindependiente"/>
        <w:tabs>
          <w:tab w:val="left" w:pos="0"/>
        </w:tabs>
        <w:suppressAutoHyphens/>
        <w:rPr>
          <w:rFonts w:cs="Calibri"/>
          <w:spacing w:val="-3"/>
        </w:rPr>
      </w:pPr>
    </w:p>
    <w:p w:rsidR="001A0B38" w:rsidRPr="005828E6" w:rsidRDefault="004474DA" w:rsidP="00A23093">
      <w:pPr>
        <w:pStyle w:val="Textoindependiente"/>
        <w:tabs>
          <w:tab w:val="left" w:pos="0"/>
        </w:tabs>
        <w:suppressAutoHyphens/>
        <w:spacing w:after="0"/>
        <w:rPr>
          <w:rFonts w:cs="Calibri"/>
          <w:sz w:val="18"/>
          <w:szCs w:val="18"/>
        </w:rPr>
      </w:pPr>
      <w:r w:rsidRPr="004474DA">
        <w:rPr>
          <w:rFonts w:cs="Calibri"/>
          <w:color w:val="1F497D"/>
          <w:lang w:val="es-ES_tradnl"/>
        </w:rPr>
        <w:t>EFECTOS</w:t>
      </w:r>
      <w:r w:rsidR="005828E6" w:rsidRPr="005828E6">
        <w:rPr>
          <w:rFonts w:cs="Calibri"/>
          <w:color w:val="1F497D"/>
          <w:sz w:val="18"/>
          <w:szCs w:val="18"/>
          <w:lang w:val="es-ES_tradnl"/>
        </w:rPr>
        <w:t xml:space="preserve"> (según</w:t>
      </w:r>
      <w:r w:rsidR="005828E6">
        <w:rPr>
          <w:rFonts w:cs="Calibri"/>
          <w:color w:val="1F497D"/>
          <w:sz w:val="18"/>
          <w:szCs w:val="18"/>
          <w:lang w:val="es-ES_tradnl"/>
        </w:rPr>
        <w:t xml:space="preserve"> la </w:t>
      </w:r>
      <w:r w:rsidR="005828E6" w:rsidRPr="005828E6">
        <w:rPr>
          <w:rFonts w:cs="Calibri"/>
          <w:color w:val="1F497D"/>
          <w:sz w:val="18"/>
          <w:szCs w:val="18"/>
          <w:lang w:val="es-ES_tradnl"/>
        </w:rPr>
        <w:t xml:space="preserve"> teoría clásica)</w:t>
      </w:r>
    </w:p>
    <w:p w:rsidR="001A0B38" w:rsidRDefault="001A0B38" w:rsidP="00A23093">
      <w:pPr>
        <w:ind w:left="397"/>
        <w:rPr>
          <w:rFonts w:cs="Calibri"/>
        </w:rPr>
      </w:pPr>
    </w:p>
    <w:p w:rsidR="001A0B38" w:rsidRPr="00E94A12" w:rsidRDefault="001A0B38" w:rsidP="00A23093">
      <w:pPr>
        <w:ind w:left="397"/>
        <w:rPr>
          <w:rFonts w:cs="Calibri"/>
        </w:rPr>
      </w:pPr>
      <w:r w:rsidRPr="00E94A12">
        <w:rPr>
          <w:rFonts w:cs="Calibri"/>
        </w:rPr>
        <w:t xml:space="preserve"> </w:t>
      </w:r>
      <w:r w:rsidRPr="00E94A12">
        <w:rPr>
          <w:rFonts w:cs="Calibri"/>
          <w:b/>
        </w:rPr>
        <w:t>En el ámbito interno</w:t>
      </w:r>
      <w:r w:rsidRPr="00E94A12">
        <w:rPr>
          <w:rFonts w:cs="Calibri"/>
        </w:rPr>
        <w:t xml:space="preserve"> </w:t>
      </w:r>
      <w:r w:rsidR="004474DA" w:rsidRPr="00E94A12">
        <w:rPr>
          <w:rFonts w:cs="Calibri"/>
        </w:rPr>
        <w:t xml:space="preserve"> (</w:t>
      </w:r>
      <w:r w:rsidRPr="00E94A12">
        <w:rPr>
          <w:rFonts w:cs="Calibri"/>
        </w:rPr>
        <w:t>entre vendedor y comprador</w:t>
      </w:r>
      <w:r w:rsidR="004474DA" w:rsidRPr="00E94A12">
        <w:rPr>
          <w:rFonts w:cs="Calibri"/>
        </w:rPr>
        <w:t>)</w:t>
      </w:r>
      <w:r w:rsidRPr="00E94A12">
        <w:rPr>
          <w:rFonts w:cs="Calibri"/>
        </w:rPr>
        <w:t>:</w:t>
      </w:r>
    </w:p>
    <w:p w:rsidR="001A0B38" w:rsidRPr="00E94A12" w:rsidRDefault="001A0B38" w:rsidP="00A23093">
      <w:pPr>
        <w:ind w:left="397"/>
        <w:rPr>
          <w:rFonts w:cs="Calibri"/>
        </w:rPr>
      </w:pPr>
    </w:p>
    <w:p w:rsidR="001A0B38" w:rsidRPr="00E94A12" w:rsidRDefault="001A0B38" w:rsidP="00665822">
      <w:pPr>
        <w:ind w:left="928"/>
        <w:rPr>
          <w:rFonts w:cs="Calibri"/>
        </w:rPr>
      </w:pPr>
      <w:r w:rsidRPr="00E94A12">
        <w:rPr>
          <w:rFonts w:cs="Calibri"/>
        </w:rPr>
        <w:t xml:space="preserve">Hasta que el comprador no satisfaga totalmente el precio aplazado: El vendedor conserva la </w:t>
      </w:r>
      <w:r w:rsidRPr="00E94A12">
        <w:rPr>
          <w:rFonts w:cs="Calibri"/>
          <w:i/>
        </w:rPr>
        <w:t>propiedad</w:t>
      </w:r>
      <w:r w:rsidRPr="00E94A12">
        <w:rPr>
          <w:rFonts w:cs="Calibri"/>
        </w:rPr>
        <w:t xml:space="preserve"> de la cosa y el comprador solamente adquiere la </w:t>
      </w:r>
      <w:r w:rsidRPr="00E94A12">
        <w:rPr>
          <w:rFonts w:cs="Calibri"/>
          <w:i/>
        </w:rPr>
        <w:t>posesión</w:t>
      </w:r>
      <w:r w:rsidRPr="00E94A12">
        <w:rPr>
          <w:rFonts w:cs="Calibri"/>
        </w:rPr>
        <w:t>.</w:t>
      </w:r>
    </w:p>
    <w:p w:rsidR="001A0B38" w:rsidRPr="00E94A12" w:rsidRDefault="001A0B38" w:rsidP="00A23093">
      <w:pPr>
        <w:ind w:left="1288"/>
        <w:rPr>
          <w:rFonts w:cs="Calibri"/>
        </w:rPr>
      </w:pPr>
    </w:p>
    <w:p w:rsidR="001A0B38" w:rsidRPr="00E94A12" w:rsidRDefault="001A0B38" w:rsidP="00665822">
      <w:pPr>
        <w:ind w:left="928"/>
        <w:rPr>
          <w:rFonts w:cs="Calibri"/>
        </w:rPr>
      </w:pPr>
      <w:r w:rsidRPr="00E94A12">
        <w:rPr>
          <w:rFonts w:cs="Calibri"/>
        </w:rPr>
        <w:t xml:space="preserve">Pagado el precio aplazado: El comprador adquiere </w:t>
      </w:r>
      <w:r w:rsidRPr="00E94A12">
        <w:rPr>
          <w:rFonts w:cs="Calibri"/>
          <w:i/>
        </w:rPr>
        <w:t>el dominio ipso iure</w:t>
      </w:r>
      <w:r w:rsidRPr="00E94A12">
        <w:rPr>
          <w:rFonts w:cs="Calibri"/>
        </w:rPr>
        <w:t>, sin necesidad de acto ó declaración alguna. Y está circunstancia se hará constar en el RP mediante la correspondiente NOTA MARGINAL.</w:t>
      </w:r>
    </w:p>
    <w:p w:rsidR="001A0B38" w:rsidRPr="00E94A12" w:rsidRDefault="001A0B38" w:rsidP="00665822">
      <w:pPr>
        <w:pStyle w:val="Prrafodelista"/>
        <w:rPr>
          <w:rFonts w:cs="Calibri"/>
        </w:rPr>
      </w:pPr>
    </w:p>
    <w:p w:rsidR="001A0B38" w:rsidRPr="00E94A12" w:rsidRDefault="001A0B38" w:rsidP="00665822">
      <w:pPr>
        <w:ind w:left="928"/>
        <w:rPr>
          <w:rFonts w:cs="Calibri"/>
        </w:rPr>
      </w:pPr>
      <w:r w:rsidRPr="00E94A12">
        <w:rPr>
          <w:rFonts w:cs="Calibri"/>
        </w:rPr>
        <w:t xml:space="preserve">Si el comprador NO pagase el precio aplazado en el plazo pactado, </w:t>
      </w:r>
      <w:r w:rsidRPr="00E94A12">
        <w:rPr>
          <w:rFonts w:cs="Calibri"/>
          <w:lang w:val="es-ES_tradnl"/>
        </w:rPr>
        <w:t xml:space="preserve">se producirá la </w:t>
      </w:r>
      <w:r w:rsidR="00955733">
        <w:rPr>
          <w:rFonts w:cs="Calibri"/>
          <w:lang w:val="es-ES_tradnl"/>
        </w:rPr>
        <w:t>REINSCRIPCIÓN</w:t>
      </w:r>
      <w:r w:rsidRPr="00E94A12">
        <w:rPr>
          <w:rFonts w:cs="Calibri"/>
          <w:lang w:val="es-ES_tradnl"/>
        </w:rPr>
        <w:t xml:space="preserve"> a favor del vendedor </w:t>
      </w:r>
      <w:r w:rsidR="00955733">
        <w:rPr>
          <w:rFonts w:cs="Calibri"/>
          <w:lang w:val="es-ES_tradnl"/>
        </w:rPr>
        <w:t>(</w:t>
      </w:r>
      <w:r w:rsidRPr="00E94A12">
        <w:rPr>
          <w:rFonts w:cs="Calibri"/>
          <w:lang w:val="es-ES_tradnl"/>
        </w:rPr>
        <w:t>y cancelación de la inscripción que reflejaba el dº expectante del comprador</w:t>
      </w:r>
      <w:r w:rsidR="00955733">
        <w:rPr>
          <w:rFonts w:cs="Calibri"/>
          <w:lang w:val="es-ES_tradnl"/>
        </w:rPr>
        <w:t>)</w:t>
      </w:r>
      <w:r w:rsidRPr="00E94A12">
        <w:rPr>
          <w:rFonts w:cs="Calibri"/>
          <w:lang w:val="es-ES_tradnl"/>
        </w:rPr>
        <w:t>.</w:t>
      </w:r>
    </w:p>
    <w:p w:rsidR="001A0B38" w:rsidRPr="00E94A12" w:rsidRDefault="001A0B38" w:rsidP="00A23093">
      <w:pPr>
        <w:rPr>
          <w:rFonts w:cs="Calibri"/>
        </w:rPr>
      </w:pPr>
    </w:p>
    <w:p w:rsidR="001A0B38" w:rsidRPr="00E94A12" w:rsidRDefault="001A0B38" w:rsidP="00A23093">
      <w:pPr>
        <w:ind w:left="737"/>
        <w:rPr>
          <w:rFonts w:cs="Calibri"/>
        </w:rPr>
      </w:pPr>
      <w:r w:rsidRPr="00E94A12">
        <w:rPr>
          <w:rFonts w:cs="Calibri"/>
          <w:b/>
        </w:rPr>
        <w:t>En el ámbito externo</w:t>
      </w:r>
      <w:r w:rsidRPr="00E94A12">
        <w:rPr>
          <w:rFonts w:cs="Calibri"/>
        </w:rPr>
        <w:t>: Hemos de distinguir entre los acreedores del comprador, los acreedores del vendedor y los subadquirentes del comprador:</w:t>
      </w:r>
    </w:p>
    <w:p w:rsidR="001A0B38" w:rsidRPr="00E94A12" w:rsidRDefault="001A0B38" w:rsidP="00A23093">
      <w:pPr>
        <w:rPr>
          <w:rFonts w:cs="Calibri"/>
        </w:rPr>
      </w:pPr>
    </w:p>
    <w:p w:rsidR="00665822" w:rsidRDefault="001A0B38" w:rsidP="00A23093">
      <w:pPr>
        <w:ind w:left="1191"/>
        <w:rPr>
          <w:rFonts w:cs="Calibri"/>
        </w:rPr>
      </w:pPr>
      <w:r w:rsidRPr="00DA0414">
        <w:rPr>
          <w:rFonts w:cs="Calibri"/>
        </w:rPr>
        <w:t xml:space="preserve"> </w:t>
      </w:r>
      <w:r w:rsidRPr="00DA0414">
        <w:rPr>
          <w:rFonts w:cs="Calibri"/>
          <w:b/>
        </w:rPr>
        <w:t>Los</w:t>
      </w:r>
      <w:r w:rsidRPr="00DA0414">
        <w:rPr>
          <w:rFonts w:cs="Calibri"/>
        </w:rPr>
        <w:t xml:space="preserve"> </w:t>
      </w:r>
      <w:r w:rsidRPr="00DA0414">
        <w:rPr>
          <w:rFonts w:cs="Calibri"/>
          <w:b/>
        </w:rPr>
        <w:t xml:space="preserve">acreedores del comprador </w:t>
      </w:r>
      <w:r w:rsidRPr="00DA0414">
        <w:rPr>
          <w:rFonts w:cs="Calibri"/>
        </w:rPr>
        <w:t xml:space="preserve"> </w:t>
      </w:r>
      <w:r>
        <w:rPr>
          <w:rFonts w:cs="Calibri"/>
        </w:rPr>
        <w:t>N</w:t>
      </w:r>
      <w:r w:rsidR="00665822">
        <w:rPr>
          <w:rFonts w:cs="Calibri"/>
        </w:rPr>
        <w:t>o</w:t>
      </w:r>
      <w:r w:rsidRPr="00DA0414">
        <w:rPr>
          <w:rFonts w:cs="Calibri"/>
        </w:rPr>
        <w:t xml:space="preserve"> pueden dirigirse contra la cosa vendida ya que no forma parte del patrimonio del </w:t>
      </w:r>
      <w:r w:rsidRPr="00665822">
        <w:rPr>
          <w:rFonts w:cs="Calibri"/>
        </w:rPr>
        <w:t xml:space="preserve">comprador, y si lo hicieran el VENDEDOR puede ejercitar la correspondiente tercería de DOMINIO. </w:t>
      </w:r>
    </w:p>
    <w:p w:rsidR="00665822" w:rsidRDefault="00665822" w:rsidP="00A23093">
      <w:pPr>
        <w:ind w:left="1191"/>
        <w:rPr>
          <w:rFonts w:cs="Calibri"/>
        </w:rPr>
      </w:pPr>
    </w:p>
    <w:p w:rsidR="001A0B38" w:rsidRDefault="001A0B38" w:rsidP="00665822">
      <w:pPr>
        <w:ind w:left="2124"/>
        <w:rPr>
          <w:rFonts w:cs="Calibri"/>
        </w:rPr>
      </w:pPr>
      <w:r w:rsidRPr="00665822">
        <w:rPr>
          <w:rFonts w:cs="Calibri"/>
        </w:rPr>
        <w:t>Para evitar</w:t>
      </w:r>
      <w:r w:rsidRPr="00DA0414">
        <w:rPr>
          <w:rFonts w:cs="Calibri"/>
        </w:rPr>
        <w:t xml:space="preserve"> el fraude </w:t>
      </w:r>
      <w:r>
        <w:rPr>
          <w:rFonts w:cs="Calibri"/>
        </w:rPr>
        <w:t>a</w:t>
      </w:r>
      <w:r w:rsidRPr="00DA0414">
        <w:rPr>
          <w:rFonts w:cs="Calibri"/>
        </w:rPr>
        <w:t xml:space="preserve"> éstos acreedores la </w:t>
      </w:r>
      <w:r>
        <w:rPr>
          <w:rFonts w:cs="Calibri"/>
        </w:rPr>
        <w:t xml:space="preserve">JP </w:t>
      </w:r>
      <w:r w:rsidRPr="00DA0414">
        <w:rPr>
          <w:rFonts w:cs="Calibri"/>
        </w:rPr>
        <w:t xml:space="preserve"> exige que la cláusula conste por escrito y que</w:t>
      </w:r>
      <w:r w:rsidR="00665822">
        <w:rPr>
          <w:rFonts w:cs="Calibri"/>
        </w:rPr>
        <w:t xml:space="preserve"> </w:t>
      </w:r>
      <w:r w:rsidRPr="00DA0414">
        <w:rPr>
          <w:rFonts w:cs="Calibri"/>
        </w:rPr>
        <w:t xml:space="preserve"> tenga fecha cierta anterior a la ejecución.</w:t>
      </w:r>
    </w:p>
    <w:p w:rsidR="001A0B38" w:rsidRDefault="001A0B38" w:rsidP="00A23093">
      <w:pPr>
        <w:ind w:left="1191"/>
        <w:rPr>
          <w:rFonts w:cs="Calibri"/>
        </w:rPr>
      </w:pPr>
    </w:p>
    <w:p w:rsidR="001A0B38" w:rsidRPr="00665822" w:rsidRDefault="001A0B38" w:rsidP="00A23093">
      <w:pPr>
        <w:ind w:left="1191"/>
        <w:rPr>
          <w:rFonts w:cs="Calibri"/>
        </w:rPr>
      </w:pPr>
      <w:r>
        <w:rPr>
          <w:rFonts w:cs="Calibri"/>
        </w:rPr>
        <w:t xml:space="preserve">Y si fueran </w:t>
      </w:r>
      <w:r w:rsidRPr="00377B3A">
        <w:rPr>
          <w:rFonts w:cs="Calibri"/>
          <w:b/>
          <w:bCs/>
        </w:rPr>
        <w:t>los</w:t>
      </w:r>
      <w:r>
        <w:rPr>
          <w:rFonts w:cs="Calibri"/>
        </w:rPr>
        <w:t xml:space="preserve"> </w:t>
      </w:r>
      <w:r w:rsidR="005828E6">
        <w:rPr>
          <w:rFonts w:cs="Calibri"/>
        </w:rPr>
        <w:t xml:space="preserve"> </w:t>
      </w:r>
      <w:r w:rsidRPr="00DA0414">
        <w:rPr>
          <w:rFonts w:cs="Calibri"/>
          <w:b/>
        </w:rPr>
        <w:t>acreedores del vendedor</w:t>
      </w:r>
      <w:r>
        <w:rPr>
          <w:rFonts w:cs="Calibri"/>
        </w:rPr>
        <w:t xml:space="preserve"> los que </w:t>
      </w:r>
      <w:r w:rsidRPr="00DA0414">
        <w:rPr>
          <w:rFonts w:cs="Calibri"/>
        </w:rPr>
        <w:t xml:space="preserve">intentan hacer efectivos sus créditos sobre la cosa </w:t>
      </w:r>
      <w:r w:rsidRPr="00665822">
        <w:rPr>
          <w:rFonts w:cs="Calibri"/>
        </w:rPr>
        <w:t>vendida, el COMPRADOR que este al corriente de sus obligaciones podría ejercitar</w:t>
      </w:r>
      <w:r w:rsidR="005828E6">
        <w:rPr>
          <w:rFonts w:cs="Calibri"/>
        </w:rPr>
        <w:t xml:space="preserve"> </w:t>
      </w:r>
      <w:r w:rsidRPr="00665822">
        <w:rPr>
          <w:rFonts w:cs="Calibri"/>
        </w:rPr>
        <w:t xml:space="preserve"> tercería de MEJOR DERECHO.</w:t>
      </w:r>
    </w:p>
    <w:p w:rsidR="001A0B38" w:rsidRDefault="001A0B38" w:rsidP="00A23093">
      <w:pPr>
        <w:ind w:left="1191"/>
        <w:rPr>
          <w:rFonts w:cs="Calibri"/>
        </w:rPr>
      </w:pPr>
    </w:p>
    <w:p w:rsidR="001A0B38" w:rsidRDefault="006A595A" w:rsidP="00A23093">
      <w:pPr>
        <w:ind w:left="1191"/>
        <w:rPr>
          <w:rFonts w:cs="Calibri"/>
        </w:rPr>
      </w:pPr>
      <w:r>
        <w:rPr>
          <w:rFonts w:cs="Calibri"/>
        </w:rPr>
        <w:t>Y e</w:t>
      </w:r>
      <w:r w:rsidR="001A0B38" w:rsidRPr="00DA0414">
        <w:rPr>
          <w:rFonts w:cs="Calibri"/>
        </w:rPr>
        <w:t xml:space="preserve">n cuanto </w:t>
      </w:r>
      <w:r w:rsidR="001A0B38" w:rsidRPr="00DA0414">
        <w:rPr>
          <w:rFonts w:cs="Calibri"/>
          <w:b/>
        </w:rPr>
        <w:t>a los subadquirentes del comprador</w:t>
      </w:r>
      <w:r w:rsidR="001A0B38" w:rsidRPr="00DA0414">
        <w:rPr>
          <w:rFonts w:cs="Calibri"/>
        </w:rPr>
        <w:t>, hay que distinguir según que el pacto de reserva de dominio este ó no inscrito:</w:t>
      </w:r>
    </w:p>
    <w:p w:rsidR="001A0B38" w:rsidRPr="00DA0414" w:rsidRDefault="001A0B38" w:rsidP="00A23093">
      <w:pPr>
        <w:ind w:left="1191"/>
        <w:rPr>
          <w:rFonts w:cs="Calibri"/>
        </w:rPr>
      </w:pPr>
    </w:p>
    <w:p w:rsidR="00D13788" w:rsidRPr="00955733" w:rsidRDefault="001A0B38" w:rsidP="00A23093">
      <w:pPr>
        <w:numPr>
          <w:ilvl w:val="0"/>
          <w:numId w:val="18"/>
        </w:numPr>
        <w:ind w:left="1718" w:firstLine="0"/>
        <w:rPr>
          <w:rFonts w:cs="Calibri"/>
        </w:rPr>
      </w:pPr>
      <w:r w:rsidRPr="00955733">
        <w:rPr>
          <w:rFonts w:cs="Calibri"/>
        </w:rPr>
        <w:t>Si el pacto SI está inscrito en el R</w:t>
      </w:r>
      <w:r w:rsidR="00665822" w:rsidRPr="00955733">
        <w:rPr>
          <w:rFonts w:cs="Calibri"/>
        </w:rPr>
        <w:t>egistro</w:t>
      </w:r>
      <w:r w:rsidRPr="00955733">
        <w:rPr>
          <w:rFonts w:cs="Calibri"/>
        </w:rPr>
        <w:t xml:space="preserve"> de Bienes Muebles ó en el RP, los subadquirentes del comprador no quedan protegidos contra las reclamaciones del vendedor.</w:t>
      </w:r>
    </w:p>
    <w:p w:rsidR="00D13788" w:rsidRPr="00955733" w:rsidRDefault="00D13788" w:rsidP="00A23093">
      <w:pPr>
        <w:ind w:left="1718"/>
        <w:rPr>
          <w:rFonts w:cs="Calibri"/>
        </w:rPr>
      </w:pPr>
    </w:p>
    <w:p w:rsidR="001A0B38" w:rsidRPr="00D13788" w:rsidRDefault="001A0B38" w:rsidP="000A6358">
      <w:pPr>
        <w:numPr>
          <w:ilvl w:val="0"/>
          <w:numId w:val="18"/>
        </w:numPr>
        <w:ind w:left="360" w:firstLine="0"/>
        <w:rPr>
          <w:rFonts w:cs="Calibri"/>
        </w:rPr>
      </w:pPr>
      <w:r w:rsidRPr="002D12DC">
        <w:rPr>
          <w:rFonts w:cs="Calibri"/>
        </w:rPr>
        <w:t>Si el pacto NO está inscrito en el Rg de Bienes Muebles ó en el RP, los subadquirentes del comprador quedan protegidos cuando concurran los requisitos del art 464 del Cc ó del art 34 LH, según se trat</w:t>
      </w:r>
      <w:r w:rsidR="00665822" w:rsidRPr="002D12DC">
        <w:rPr>
          <w:rFonts w:cs="Calibri"/>
        </w:rPr>
        <w:t>e</w:t>
      </w:r>
      <w:r w:rsidRPr="002D12DC">
        <w:rPr>
          <w:rFonts w:cs="Calibri"/>
        </w:rPr>
        <w:t xml:space="preserve"> respectivamente de bienes muebles ó</w:t>
      </w:r>
      <w:bookmarkStart w:id="0" w:name="_GoBack"/>
      <w:bookmarkEnd w:id="0"/>
      <w:r w:rsidRPr="002D12DC">
        <w:rPr>
          <w:rFonts w:cs="Calibri"/>
        </w:rPr>
        <w:t xml:space="preserve"> inmuebles.</w:t>
      </w:r>
    </w:p>
    <w:sectPr w:rsidR="001A0B38" w:rsidRPr="00D13788" w:rsidSect="00DB5B8E">
      <w:footerReference w:type="even" r:id="rId8"/>
      <w:footerReference w:type="default" r:id="rId9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C0" w:rsidRDefault="007D49C0">
      <w:r>
        <w:separator/>
      </w:r>
    </w:p>
  </w:endnote>
  <w:endnote w:type="continuationSeparator" w:id="0">
    <w:p w:rsidR="007D49C0" w:rsidRDefault="007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BD" w:rsidRDefault="006C2CBD" w:rsidP="005944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2CBD" w:rsidRDefault="006C2CBD" w:rsidP="000246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BD" w:rsidRDefault="006C2CBD" w:rsidP="005944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12D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C2CBD" w:rsidRDefault="006C2CBD" w:rsidP="000246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C0" w:rsidRDefault="007D49C0">
      <w:r>
        <w:separator/>
      </w:r>
    </w:p>
  </w:footnote>
  <w:footnote w:type="continuationSeparator" w:id="0">
    <w:p w:rsidR="007D49C0" w:rsidRDefault="007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5BF"/>
    <w:multiLevelType w:val="hybridMultilevel"/>
    <w:tmpl w:val="CBFE66A0"/>
    <w:lvl w:ilvl="0" w:tplc="8BC6D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2FBB"/>
    <w:multiLevelType w:val="multilevel"/>
    <w:tmpl w:val="C5E0D5C4"/>
    <w:lvl w:ilvl="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48F"/>
    <w:multiLevelType w:val="hybridMultilevel"/>
    <w:tmpl w:val="D4C2B54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A1103"/>
    <w:multiLevelType w:val="hybridMultilevel"/>
    <w:tmpl w:val="8DD0E994"/>
    <w:lvl w:ilvl="0" w:tplc="C1D245AA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1F3B"/>
    <w:multiLevelType w:val="hybridMultilevel"/>
    <w:tmpl w:val="C7BAC9C2"/>
    <w:lvl w:ilvl="0" w:tplc="0C0A0003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16E2179C"/>
    <w:multiLevelType w:val="hybridMultilevel"/>
    <w:tmpl w:val="ECC6F5B8"/>
    <w:lvl w:ilvl="0" w:tplc="C1D245AA">
      <w:start w:val="1"/>
      <w:numFmt w:val="bullet"/>
      <w:lvlText w:val="-"/>
      <w:lvlJc w:val="left"/>
      <w:pPr>
        <w:ind w:left="1288" w:hanging="360"/>
      </w:pPr>
      <w:rPr>
        <w:rFonts w:ascii="Raavi" w:hAnsi="Raavi" w:hint="default"/>
      </w:rPr>
    </w:lvl>
    <w:lvl w:ilvl="1" w:tplc="0C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70B34BD"/>
    <w:multiLevelType w:val="hybridMultilevel"/>
    <w:tmpl w:val="7B4226F6"/>
    <w:lvl w:ilvl="0" w:tplc="E9587DBE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843F2"/>
    <w:multiLevelType w:val="hybridMultilevel"/>
    <w:tmpl w:val="9BA81012"/>
    <w:lvl w:ilvl="0" w:tplc="8DB86596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EE0D29"/>
    <w:multiLevelType w:val="hybridMultilevel"/>
    <w:tmpl w:val="10ACD3EC"/>
    <w:lvl w:ilvl="0" w:tplc="C1D245AA">
      <w:start w:val="1"/>
      <w:numFmt w:val="bullet"/>
      <w:lvlText w:val="-"/>
      <w:lvlJc w:val="left"/>
      <w:pPr>
        <w:ind w:left="1174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2A52FEA"/>
    <w:multiLevelType w:val="hybridMultilevel"/>
    <w:tmpl w:val="C5E0D5C4"/>
    <w:lvl w:ilvl="0" w:tplc="C1D245AA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76C08"/>
    <w:multiLevelType w:val="hybridMultilevel"/>
    <w:tmpl w:val="9F7616C0"/>
    <w:lvl w:ilvl="0" w:tplc="8DB8659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5C1402"/>
    <w:multiLevelType w:val="hybridMultilevel"/>
    <w:tmpl w:val="5F4EC614"/>
    <w:lvl w:ilvl="0" w:tplc="1362DF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492677D"/>
    <w:multiLevelType w:val="hybridMultilevel"/>
    <w:tmpl w:val="E6004F9A"/>
    <w:lvl w:ilvl="0" w:tplc="8DB86596">
      <w:start w:val="1"/>
      <w:numFmt w:val="bullet"/>
      <w:lvlText w:val="­"/>
      <w:lvlJc w:val="left"/>
      <w:pPr>
        <w:ind w:left="128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5925213D"/>
    <w:multiLevelType w:val="hybridMultilevel"/>
    <w:tmpl w:val="BCCEC34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A838DF"/>
    <w:multiLevelType w:val="hybridMultilevel"/>
    <w:tmpl w:val="E7DA5DF0"/>
    <w:lvl w:ilvl="0" w:tplc="C1D245AA">
      <w:start w:val="1"/>
      <w:numFmt w:val="bullet"/>
      <w:lvlText w:val="-"/>
      <w:lvlJc w:val="left"/>
      <w:pPr>
        <w:ind w:left="1428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7159FF"/>
    <w:multiLevelType w:val="hybridMultilevel"/>
    <w:tmpl w:val="CFBCE31E"/>
    <w:lvl w:ilvl="0" w:tplc="8DB86596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5A57D7"/>
    <w:multiLevelType w:val="hybridMultilevel"/>
    <w:tmpl w:val="C318EA40"/>
    <w:lvl w:ilvl="0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68246D03"/>
    <w:multiLevelType w:val="hybridMultilevel"/>
    <w:tmpl w:val="9E6E4BF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5476957"/>
    <w:multiLevelType w:val="hybridMultilevel"/>
    <w:tmpl w:val="DA5C9C4C"/>
    <w:lvl w:ilvl="0" w:tplc="0C0A0003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9" w15:restartNumberingAfterBreak="0">
    <w:nsid w:val="7B222B58"/>
    <w:multiLevelType w:val="multilevel"/>
    <w:tmpl w:val="8DD0E994"/>
    <w:lvl w:ilvl="0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4"/>
  </w:num>
  <w:num w:numId="7">
    <w:abstractNumId w:val="16"/>
  </w:num>
  <w:num w:numId="8">
    <w:abstractNumId w:val="1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12"/>
  </w:num>
  <w:num w:numId="18">
    <w:abstractNumId w:val="1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DD"/>
    <w:rsid w:val="00024682"/>
    <w:rsid w:val="000539FA"/>
    <w:rsid w:val="000B3EA4"/>
    <w:rsid w:val="000F4E76"/>
    <w:rsid w:val="00120A9F"/>
    <w:rsid w:val="0018581E"/>
    <w:rsid w:val="001A0B38"/>
    <w:rsid w:val="001E01FA"/>
    <w:rsid w:val="001E23AE"/>
    <w:rsid w:val="00261725"/>
    <w:rsid w:val="00270397"/>
    <w:rsid w:val="0028719B"/>
    <w:rsid w:val="002D12DC"/>
    <w:rsid w:val="00302037"/>
    <w:rsid w:val="0033329A"/>
    <w:rsid w:val="003507E7"/>
    <w:rsid w:val="003C19BE"/>
    <w:rsid w:val="003F35C5"/>
    <w:rsid w:val="00405991"/>
    <w:rsid w:val="004474DA"/>
    <w:rsid w:val="00500352"/>
    <w:rsid w:val="00505CA8"/>
    <w:rsid w:val="005361DD"/>
    <w:rsid w:val="005828E6"/>
    <w:rsid w:val="0059444F"/>
    <w:rsid w:val="005E7753"/>
    <w:rsid w:val="005F6043"/>
    <w:rsid w:val="00657A17"/>
    <w:rsid w:val="006646DD"/>
    <w:rsid w:val="00665822"/>
    <w:rsid w:val="0068138D"/>
    <w:rsid w:val="00691E02"/>
    <w:rsid w:val="00694903"/>
    <w:rsid w:val="006A595A"/>
    <w:rsid w:val="006B25A0"/>
    <w:rsid w:val="006C2CBD"/>
    <w:rsid w:val="006F54AA"/>
    <w:rsid w:val="00702956"/>
    <w:rsid w:val="007206B7"/>
    <w:rsid w:val="00765258"/>
    <w:rsid w:val="0078706B"/>
    <w:rsid w:val="007D49C0"/>
    <w:rsid w:val="00813279"/>
    <w:rsid w:val="00847B3A"/>
    <w:rsid w:val="008B54EA"/>
    <w:rsid w:val="008C1190"/>
    <w:rsid w:val="008F21E6"/>
    <w:rsid w:val="0091047A"/>
    <w:rsid w:val="00943A0C"/>
    <w:rsid w:val="00955733"/>
    <w:rsid w:val="00961114"/>
    <w:rsid w:val="00997AF8"/>
    <w:rsid w:val="009C6196"/>
    <w:rsid w:val="009F45E7"/>
    <w:rsid w:val="00A23093"/>
    <w:rsid w:val="00A700D3"/>
    <w:rsid w:val="00AB7548"/>
    <w:rsid w:val="00AE2CC5"/>
    <w:rsid w:val="00B966BC"/>
    <w:rsid w:val="00BA510F"/>
    <w:rsid w:val="00BB0D25"/>
    <w:rsid w:val="00BD4B58"/>
    <w:rsid w:val="00BF05F4"/>
    <w:rsid w:val="00C84C91"/>
    <w:rsid w:val="00CA3F86"/>
    <w:rsid w:val="00CC027F"/>
    <w:rsid w:val="00D13788"/>
    <w:rsid w:val="00D63756"/>
    <w:rsid w:val="00D80AE6"/>
    <w:rsid w:val="00D8538D"/>
    <w:rsid w:val="00DB5B8E"/>
    <w:rsid w:val="00E269D1"/>
    <w:rsid w:val="00E8265D"/>
    <w:rsid w:val="00E86073"/>
    <w:rsid w:val="00E94A12"/>
    <w:rsid w:val="00EB750C"/>
    <w:rsid w:val="00EF3785"/>
    <w:rsid w:val="00EF59AA"/>
    <w:rsid w:val="00FD40FF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B8B6C-4110-414E-9516-EA1654D2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D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rsid w:val="008F21E6"/>
    <w:pPr>
      <w:ind w:firstLine="708"/>
    </w:pPr>
    <w:rPr>
      <w:rFonts w:ascii="Arial" w:eastAsia="Times New Roman" w:hAnsi="Arial" w:cs="Arial"/>
      <w:sz w:val="28"/>
      <w:szCs w:val="24"/>
      <w:lang w:eastAsia="es-ES"/>
    </w:rPr>
  </w:style>
  <w:style w:type="paragraph" w:styleId="Piedepgina">
    <w:name w:val="footer"/>
    <w:basedOn w:val="Normal"/>
    <w:rsid w:val="0002468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24682"/>
  </w:style>
  <w:style w:type="paragraph" w:styleId="Sangradetextonormal">
    <w:name w:val="Body Text Indent"/>
    <w:basedOn w:val="Normal"/>
    <w:rsid w:val="00EF59AA"/>
    <w:pPr>
      <w:spacing w:after="120"/>
      <w:ind w:left="283"/>
    </w:pPr>
  </w:style>
  <w:style w:type="character" w:styleId="Hipervnculo">
    <w:name w:val="Hyperlink"/>
    <w:rsid w:val="00120A9F"/>
    <w:rPr>
      <w:strike w:val="0"/>
      <w:dstrike w:val="0"/>
      <w:color w:val="4C6F99"/>
      <w:u w:val="none"/>
      <w:effect w:val="none"/>
    </w:rPr>
  </w:style>
  <w:style w:type="paragraph" w:styleId="Textoindependiente">
    <w:name w:val="Body Text"/>
    <w:basedOn w:val="Normal"/>
    <w:rsid w:val="00270397"/>
    <w:pPr>
      <w:spacing w:after="120"/>
    </w:pPr>
  </w:style>
  <w:style w:type="paragraph" w:styleId="Textoindependiente2">
    <w:name w:val="Body Text 2"/>
    <w:basedOn w:val="Normal"/>
    <w:link w:val="Textoindependiente2Car"/>
    <w:rsid w:val="001A0B38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1A0B3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A0B38"/>
    <w:pPr>
      <w:ind w:left="708"/>
    </w:pPr>
  </w:style>
  <w:style w:type="paragraph" w:styleId="Textonotaalfinal">
    <w:name w:val="endnote text"/>
    <w:basedOn w:val="Normal"/>
    <w:link w:val="TextonotaalfinalCar"/>
    <w:rsid w:val="00D8538D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D8538D"/>
    <w:rPr>
      <w:rFonts w:ascii="Calibri" w:eastAsia="Calibri" w:hAnsi="Calibri"/>
      <w:lang w:eastAsia="en-US"/>
    </w:rPr>
  </w:style>
  <w:style w:type="character" w:styleId="Refdenotaalfinal">
    <w:name w:val="endnote reference"/>
    <w:rsid w:val="00D85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0F07-CC64-405A-81F5-30BD5158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2077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17  Hipotecario</vt:lpstr>
    </vt:vector>
  </TitlesOfParts>
  <Company/>
  <LinksUpToDate>false</LinksUpToDate>
  <CharactersWithSpaces>13475</CharactersWithSpaces>
  <SharedDoc>false</SharedDoc>
  <HLinks>
    <vt:vector size="6" baseType="variant">
      <vt:variant>
        <vt:i4>4325432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http://noticias.juridicas.com/base_datos/Privado/rdleg6-2004.html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17  Hipotecario</dc:title>
  <dc:subject/>
  <dc:creator>agustin zuasti san julian</dc:creator>
  <cp:keywords/>
  <cp:lastModifiedBy>Daniel Andreu</cp:lastModifiedBy>
  <cp:revision>2</cp:revision>
  <cp:lastPrinted>2010-01-12T14:51:00Z</cp:lastPrinted>
  <dcterms:created xsi:type="dcterms:W3CDTF">2019-05-27T15:12:00Z</dcterms:created>
  <dcterms:modified xsi:type="dcterms:W3CDTF">2019-05-27T15:12:00Z</dcterms:modified>
</cp:coreProperties>
</file>