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0C" w:rsidRDefault="00D601C0" w:rsidP="0062165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D8690C">
        <w:rPr>
          <w:rFonts w:ascii="Calibri" w:hAnsi="Calibri" w:cs="Calibri"/>
          <w:b/>
          <w:bCs/>
          <w:sz w:val="22"/>
          <w:szCs w:val="22"/>
        </w:rPr>
        <w:t>T</w:t>
      </w:r>
      <w:r w:rsidR="00D8690C" w:rsidRPr="00D8690C">
        <w:rPr>
          <w:rFonts w:ascii="Calibri" w:hAnsi="Calibri" w:cs="Calibri"/>
          <w:b/>
          <w:bCs/>
          <w:sz w:val="22"/>
          <w:szCs w:val="22"/>
        </w:rPr>
        <w:t>ema 2</w:t>
      </w:r>
      <w:r w:rsidR="0062165C">
        <w:rPr>
          <w:rFonts w:ascii="Calibri" w:hAnsi="Calibri" w:cs="Calibri"/>
          <w:b/>
          <w:bCs/>
          <w:sz w:val="22"/>
          <w:szCs w:val="22"/>
        </w:rPr>
        <w:t>4</w:t>
      </w:r>
      <w:r w:rsidR="00D8690C" w:rsidRPr="00D8690C">
        <w:rPr>
          <w:rFonts w:ascii="Calibri" w:hAnsi="Calibri" w:cs="Calibri"/>
          <w:b/>
          <w:bCs/>
          <w:sz w:val="22"/>
          <w:szCs w:val="22"/>
        </w:rPr>
        <w:t xml:space="preserve"> Hipotecario </w:t>
      </w:r>
    </w:p>
    <w:p w:rsidR="0062165C" w:rsidRDefault="0062165C" w:rsidP="0062165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165C" w:rsidRDefault="0062165C" w:rsidP="0062165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2165C" w:rsidRDefault="0062165C" w:rsidP="0062165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62165C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EL ASIENTO DE CANCELACION: CONCEPTO y CARACTERES</w:t>
      </w:r>
    </w:p>
    <w:p w:rsidR="0062165C" w:rsidRDefault="0062165C" w:rsidP="0062165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E017C2" w:rsidRPr="00E017C2" w:rsidRDefault="00E017C2" w:rsidP="00E017C2">
      <w:pPr>
        <w:jc w:val="both"/>
        <w:rPr>
          <w:rFonts w:ascii="Calibri" w:hAnsi="Calibri" w:cs="Arial"/>
          <w:sz w:val="22"/>
          <w:szCs w:val="22"/>
        </w:rPr>
      </w:pPr>
      <w:r w:rsidRPr="00E017C2">
        <w:rPr>
          <w:rFonts w:ascii="Calibri" w:hAnsi="Calibri" w:cs="Arial"/>
          <w:b/>
          <w:bCs/>
          <w:sz w:val="22"/>
          <w:szCs w:val="22"/>
        </w:rPr>
        <w:t>41 LH</w:t>
      </w:r>
      <w:r w:rsidRPr="00E017C2">
        <w:rPr>
          <w:rFonts w:ascii="Calibri" w:hAnsi="Calibri" w:cs="Arial"/>
          <w:sz w:val="22"/>
          <w:szCs w:val="22"/>
        </w:rPr>
        <w:t xml:space="preserve"> En los libros del RP se practicarán las siguientes clases de asiento ó inscripciones: Asientos de presentación, inscripciones propiamente dichas, anotaciones preventivas, cancelaciones y notas marginales. Estudiamos ahora la </w:t>
      </w:r>
      <w:r>
        <w:rPr>
          <w:rFonts w:ascii="Calibri" w:hAnsi="Calibri" w:cs="Arial"/>
          <w:sz w:val="22"/>
          <w:szCs w:val="22"/>
        </w:rPr>
        <w:t>CC</w:t>
      </w:r>
      <w:r w:rsidRPr="00E017C2">
        <w:rPr>
          <w:rFonts w:ascii="Calibri" w:hAnsi="Calibri" w:cs="Arial"/>
          <w:sz w:val="22"/>
          <w:szCs w:val="22"/>
        </w:rPr>
        <w:t xml:space="preserve"> </w:t>
      </w:r>
    </w:p>
    <w:p w:rsidR="00E017C2" w:rsidRDefault="00E017C2" w:rsidP="005F61EE">
      <w:pPr>
        <w:jc w:val="both"/>
        <w:rPr>
          <w:rFonts w:ascii="Calibri" w:hAnsi="Calibri" w:cs="Arial"/>
          <w:sz w:val="22"/>
          <w:szCs w:val="22"/>
        </w:rPr>
      </w:pPr>
    </w:p>
    <w:p w:rsidR="000F5099" w:rsidRPr="00493C0C" w:rsidRDefault="000F5099" w:rsidP="000F5099">
      <w:pPr>
        <w:jc w:val="both"/>
        <w:rPr>
          <w:rFonts w:ascii="Calibri" w:hAnsi="Calibri" w:cs="Arial"/>
          <w:sz w:val="22"/>
          <w:szCs w:val="22"/>
        </w:rPr>
      </w:pPr>
      <w:r w:rsidRPr="005F61EE">
        <w:rPr>
          <w:rFonts w:ascii="Calibri" w:hAnsi="Calibri" w:cs="Arial"/>
          <w:sz w:val="22"/>
          <w:szCs w:val="22"/>
        </w:rPr>
        <w:t>ROCA SASTRE</w:t>
      </w:r>
      <w:r>
        <w:rPr>
          <w:rFonts w:ascii="Calibri" w:hAnsi="Calibri" w:cs="Arial"/>
          <w:color w:val="1F497D"/>
          <w:sz w:val="22"/>
          <w:szCs w:val="22"/>
        </w:rPr>
        <w:t xml:space="preserve"> </w:t>
      </w:r>
      <w:r w:rsidRPr="002B48BA">
        <w:rPr>
          <w:rFonts w:ascii="Calibri" w:hAnsi="Calibri" w:cs="Arial"/>
          <w:bCs/>
          <w:sz w:val="22"/>
          <w:szCs w:val="22"/>
        </w:rPr>
        <w:t xml:space="preserve">define el asiento de cancelación como </w:t>
      </w:r>
      <w:r w:rsidRPr="000F5099">
        <w:rPr>
          <w:rFonts w:ascii="Calibri" w:hAnsi="Calibri" w:cs="Arial"/>
          <w:bCs/>
          <w:sz w:val="22"/>
          <w:szCs w:val="22"/>
        </w:rPr>
        <w:t xml:space="preserve">un asiento </w:t>
      </w:r>
      <w:r w:rsidRPr="00493C0C">
        <w:rPr>
          <w:rFonts w:ascii="Calibri" w:hAnsi="Calibri" w:cs="Arial"/>
          <w:sz w:val="22"/>
          <w:szCs w:val="22"/>
        </w:rPr>
        <w:t>accesorio</w:t>
      </w:r>
      <w:r w:rsidR="00493C0C" w:rsidRPr="00493C0C">
        <w:rPr>
          <w:rFonts w:ascii="Calibri" w:hAnsi="Calibri" w:cs="Arial"/>
          <w:sz w:val="22"/>
          <w:szCs w:val="22"/>
        </w:rPr>
        <w:t xml:space="preserve"> (</w:t>
      </w:r>
      <w:r w:rsidR="00E42268">
        <w:rPr>
          <w:rFonts w:ascii="Calibri" w:hAnsi="Calibri" w:cs="Arial"/>
          <w:sz w:val="22"/>
          <w:szCs w:val="22"/>
        </w:rPr>
        <w:t xml:space="preserve">pues </w:t>
      </w:r>
      <w:r w:rsidR="00493C0C" w:rsidRPr="00493C0C">
        <w:rPr>
          <w:rFonts w:ascii="Calibri" w:hAnsi="Calibri" w:cs="Arial"/>
          <w:sz w:val="22"/>
          <w:szCs w:val="22"/>
        </w:rPr>
        <w:t>nunca abre folio registral</w:t>
      </w:r>
      <w:r w:rsidRPr="00493C0C">
        <w:rPr>
          <w:rFonts w:ascii="Calibri" w:hAnsi="Calibri" w:cs="Arial"/>
          <w:sz w:val="22"/>
          <w:szCs w:val="22"/>
        </w:rPr>
        <w:t>,</w:t>
      </w:r>
      <w:r w:rsidR="00493C0C" w:rsidRPr="00493C0C">
        <w:rPr>
          <w:rFonts w:ascii="Calibri" w:hAnsi="Calibri" w:cs="Arial"/>
          <w:sz w:val="22"/>
          <w:szCs w:val="22"/>
        </w:rPr>
        <w:t xml:space="preserve"> </w:t>
      </w:r>
      <w:r w:rsidR="00E42268">
        <w:rPr>
          <w:rFonts w:ascii="Calibri" w:hAnsi="Calibri" w:cs="Arial"/>
          <w:sz w:val="22"/>
          <w:szCs w:val="22"/>
        </w:rPr>
        <w:t>aunque</w:t>
      </w:r>
      <w:r w:rsidR="00493C0C" w:rsidRPr="00493C0C">
        <w:rPr>
          <w:rFonts w:ascii="Calibri" w:hAnsi="Calibri" w:cs="Arial"/>
          <w:sz w:val="22"/>
          <w:szCs w:val="22"/>
        </w:rPr>
        <w:t xml:space="preserve"> su función es principal),</w:t>
      </w:r>
      <w:r w:rsidRPr="00493C0C">
        <w:rPr>
          <w:rFonts w:ascii="Calibri" w:hAnsi="Calibri" w:cs="Arial"/>
          <w:sz w:val="22"/>
          <w:szCs w:val="22"/>
        </w:rPr>
        <w:t xml:space="preserve"> definitivo </w:t>
      </w:r>
      <w:r w:rsidR="00493C0C" w:rsidRPr="00493C0C">
        <w:rPr>
          <w:rFonts w:ascii="Calibri" w:hAnsi="Calibri" w:cs="Arial"/>
          <w:sz w:val="22"/>
          <w:szCs w:val="22"/>
        </w:rPr>
        <w:t>(</w:t>
      </w:r>
      <w:r w:rsidR="00493C0C" w:rsidRPr="002B48BA">
        <w:rPr>
          <w:rFonts w:ascii="Calibri" w:hAnsi="Calibri" w:cs="Arial"/>
          <w:sz w:val="22"/>
          <w:szCs w:val="22"/>
        </w:rPr>
        <w:t>como afirma la DG</w:t>
      </w:r>
      <w:r w:rsidR="00493C0C">
        <w:rPr>
          <w:rFonts w:ascii="Calibri" w:hAnsi="Calibri" w:cs="Arial"/>
          <w:sz w:val="22"/>
          <w:szCs w:val="22"/>
        </w:rPr>
        <w:t xml:space="preserve">, </w:t>
      </w:r>
      <w:r w:rsidR="00493C0C" w:rsidRPr="00493C0C">
        <w:rPr>
          <w:rFonts w:ascii="Calibri" w:hAnsi="Calibri" w:cs="Arial"/>
          <w:sz w:val="22"/>
          <w:szCs w:val="22"/>
        </w:rPr>
        <w:t xml:space="preserve">no puede quedar sujeta a plazo ni a condición; no admite grados, CHICO) </w:t>
      </w:r>
      <w:r w:rsidRPr="00493C0C">
        <w:rPr>
          <w:rFonts w:ascii="Calibri" w:hAnsi="Calibri" w:cs="Arial"/>
          <w:sz w:val="22"/>
          <w:szCs w:val="22"/>
        </w:rPr>
        <w:t>y negativo</w:t>
      </w:r>
      <w:r w:rsidR="00493C0C">
        <w:rPr>
          <w:rFonts w:ascii="Calibri" w:hAnsi="Calibri" w:cs="Arial"/>
          <w:sz w:val="22"/>
          <w:szCs w:val="22"/>
        </w:rPr>
        <w:t xml:space="preserve"> (</w:t>
      </w:r>
      <w:r w:rsidR="00493C0C" w:rsidRPr="00493C0C">
        <w:rPr>
          <w:rFonts w:ascii="Calibri" w:hAnsi="Calibri" w:cs="Arial"/>
          <w:sz w:val="22"/>
          <w:szCs w:val="22"/>
        </w:rPr>
        <w:t>deja sin efectos un asiento</w:t>
      </w:r>
      <w:r w:rsidR="00E42268">
        <w:rPr>
          <w:rFonts w:ascii="Calibri" w:hAnsi="Calibri" w:cs="Arial"/>
          <w:sz w:val="22"/>
          <w:szCs w:val="22"/>
        </w:rPr>
        <w:t xml:space="preserve"> preexistente</w:t>
      </w:r>
      <w:r w:rsidR="00493C0C">
        <w:rPr>
          <w:rFonts w:ascii="Calibri" w:hAnsi="Calibri" w:cs="Arial"/>
          <w:sz w:val="22"/>
          <w:szCs w:val="22"/>
        </w:rPr>
        <w:t>)</w:t>
      </w:r>
      <w:r w:rsidRPr="00493C0C">
        <w:rPr>
          <w:rFonts w:ascii="Calibri" w:hAnsi="Calibri" w:cs="Arial"/>
          <w:sz w:val="22"/>
          <w:szCs w:val="22"/>
        </w:rPr>
        <w:t>, en cuya virtud se extingue una asiento anterior</w:t>
      </w:r>
      <w:r w:rsidR="00493C0C">
        <w:rPr>
          <w:rFonts w:ascii="Calibri" w:hAnsi="Calibri" w:cs="Arial"/>
          <w:sz w:val="22"/>
          <w:szCs w:val="22"/>
        </w:rPr>
        <w:t xml:space="preserve"> (n</w:t>
      </w:r>
      <w:r w:rsidR="00493C0C" w:rsidRPr="00493C0C">
        <w:rPr>
          <w:rFonts w:ascii="Calibri" w:hAnsi="Calibri" w:cs="Arial"/>
          <w:sz w:val="22"/>
          <w:szCs w:val="22"/>
        </w:rPr>
        <w:t>unca tiene efectos retroactivos</w:t>
      </w:r>
      <w:r w:rsidR="00493C0C">
        <w:rPr>
          <w:rFonts w:ascii="Calibri" w:hAnsi="Calibri" w:cs="Arial"/>
          <w:sz w:val="22"/>
          <w:szCs w:val="22"/>
        </w:rPr>
        <w:t>)</w:t>
      </w:r>
      <w:r w:rsidRPr="00493C0C">
        <w:rPr>
          <w:rFonts w:ascii="Calibri" w:hAnsi="Calibri" w:cs="Arial"/>
          <w:sz w:val="22"/>
          <w:szCs w:val="22"/>
        </w:rPr>
        <w:t xml:space="preserve"> y como consecuencia de ello se presume extinguido el dº a que se refería el asiento cancelado. </w:t>
      </w:r>
    </w:p>
    <w:p w:rsidR="000F5099" w:rsidRDefault="000F5099" w:rsidP="005F61EE">
      <w:pPr>
        <w:jc w:val="both"/>
        <w:rPr>
          <w:rFonts w:ascii="Calibri" w:hAnsi="Calibri" w:cs="Arial"/>
          <w:sz w:val="22"/>
          <w:szCs w:val="22"/>
        </w:rPr>
      </w:pPr>
    </w:p>
    <w:p w:rsidR="000C026D" w:rsidRPr="002B48BA" w:rsidRDefault="000C026D" w:rsidP="000C026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2B48BA">
        <w:rPr>
          <w:rFonts w:ascii="Calibri" w:hAnsi="Calibri" w:cs="Arial"/>
          <w:sz w:val="22"/>
          <w:szCs w:val="22"/>
        </w:rPr>
        <w:t>uede afectar a una inscripción</w:t>
      </w:r>
      <w:r>
        <w:rPr>
          <w:rFonts w:ascii="Calibri" w:hAnsi="Calibri" w:cs="Arial"/>
          <w:sz w:val="22"/>
          <w:szCs w:val="22"/>
        </w:rPr>
        <w:t>, ap, nm</w:t>
      </w:r>
      <w:r w:rsidRPr="002B48BA">
        <w:rPr>
          <w:rFonts w:ascii="Calibri" w:hAnsi="Calibri" w:cs="Arial"/>
          <w:sz w:val="22"/>
          <w:szCs w:val="22"/>
        </w:rPr>
        <w:t xml:space="preserve">, otra cancelación e incluso puede alcanzar al asiento de presentación. </w:t>
      </w:r>
    </w:p>
    <w:p w:rsidR="000C026D" w:rsidRDefault="000C026D" w:rsidP="000C026D">
      <w:pPr>
        <w:overflowPunct/>
        <w:autoSpaceDE/>
        <w:autoSpaceDN/>
        <w:adjustRightInd/>
        <w:jc w:val="both"/>
        <w:textAlignment w:val="auto"/>
        <w:rPr>
          <w:rFonts w:ascii="Calibri" w:hAnsi="Calibri" w:cs="Arial"/>
          <w:i/>
          <w:sz w:val="22"/>
          <w:szCs w:val="22"/>
        </w:rPr>
      </w:pPr>
    </w:p>
    <w:p w:rsidR="000C026D" w:rsidRDefault="000C026D" w:rsidP="000C026D">
      <w:pPr>
        <w:overflowPunct/>
        <w:autoSpaceDE/>
        <w:autoSpaceDN/>
        <w:adjustRightInd/>
        <w:ind w:left="1418"/>
        <w:jc w:val="both"/>
        <w:textAlignment w:val="auto"/>
        <w:rPr>
          <w:rFonts w:ascii="Calibri" w:hAnsi="Calibri" w:cs="Arial"/>
          <w:sz w:val="22"/>
          <w:szCs w:val="22"/>
        </w:rPr>
      </w:pPr>
      <w:r w:rsidRPr="000B0D55">
        <w:rPr>
          <w:rFonts w:ascii="Calibri" w:hAnsi="Calibri" w:cs="Arial"/>
          <w:sz w:val="22"/>
          <w:szCs w:val="22"/>
        </w:rPr>
        <w:t>La cc revestirá</w:t>
      </w:r>
      <w:r>
        <w:rPr>
          <w:rFonts w:ascii="Calibri" w:hAnsi="Calibri" w:cs="Arial"/>
          <w:sz w:val="22"/>
          <w:szCs w:val="22"/>
        </w:rPr>
        <w:t xml:space="preserve"> </w:t>
      </w:r>
      <w:r w:rsidRPr="000B0D55">
        <w:rPr>
          <w:rFonts w:ascii="Calibri" w:hAnsi="Calibri" w:cs="Arial"/>
          <w:sz w:val="22"/>
          <w:szCs w:val="22"/>
        </w:rPr>
        <w:t xml:space="preserve"> la misma “forma” que el asiento que se cancela (así por</w:t>
      </w:r>
      <w:r w:rsidRPr="002B48BA">
        <w:rPr>
          <w:rFonts w:ascii="Calibri" w:hAnsi="Calibri" w:cs="Arial"/>
          <w:sz w:val="22"/>
          <w:szCs w:val="22"/>
        </w:rPr>
        <w:t xml:space="preserve"> ej si se cancela una nota marginal, la cc se hará constar por nota marginal).</w:t>
      </w:r>
    </w:p>
    <w:p w:rsidR="000C026D" w:rsidRDefault="000C026D" w:rsidP="000C026D">
      <w:pPr>
        <w:widowControl w:val="0"/>
        <w:tabs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37"/>
        <w:jc w:val="both"/>
        <w:rPr>
          <w:rFonts w:ascii="Calibri" w:hAnsi="Calibri" w:cs="Arial"/>
          <w:sz w:val="22"/>
          <w:szCs w:val="22"/>
        </w:rPr>
      </w:pPr>
    </w:p>
    <w:p w:rsidR="000C026D" w:rsidRPr="008825D1" w:rsidRDefault="000C026D" w:rsidP="000C026D">
      <w:pPr>
        <w:overflowPunct/>
        <w:autoSpaceDE/>
        <w:autoSpaceDN/>
        <w:adjustRightInd/>
        <w:ind w:left="2155"/>
        <w:jc w:val="both"/>
        <w:textAlignment w:val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Ahora bien, e</w:t>
      </w:r>
      <w:r w:rsidRPr="008825D1">
        <w:rPr>
          <w:rFonts w:ascii="Calibri" w:hAnsi="Calibri" w:cs="Arial"/>
          <w:sz w:val="22"/>
          <w:szCs w:val="22"/>
        </w:rPr>
        <w:t xml:space="preserve">l RH permite </w:t>
      </w:r>
      <w:r>
        <w:rPr>
          <w:rFonts w:ascii="Calibri" w:hAnsi="Calibri" w:cs="Arial"/>
          <w:sz w:val="22"/>
          <w:szCs w:val="22"/>
        </w:rPr>
        <w:t xml:space="preserve">en ocasiones </w:t>
      </w:r>
      <w:r w:rsidRPr="008825D1">
        <w:rPr>
          <w:rFonts w:ascii="Calibri" w:hAnsi="Calibri" w:cs="Arial"/>
          <w:sz w:val="22"/>
          <w:szCs w:val="22"/>
        </w:rPr>
        <w:t xml:space="preserve">prescindir de asiento </w:t>
      </w:r>
      <w:r w:rsidRPr="008825D1">
        <w:rPr>
          <w:rFonts w:ascii="Calibri" w:hAnsi="Calibri" w:cs="Arial"/>
          <w:i/>
          <w:sz w:val="22"/>
          <w:szCs w:val="22"/>
        </w:rPr>
        <w:t xml:space="preserve">separado </w:t>
      </w:r>
      <w:r w:rsidRPr="008825D1">
        <w:rPr>
          <w:rFonts w:ascii="Calibri" w:hAnsi="Calibri" w:cs="Arial"/>
          <w:sz w:val="22"/>
          <w:szCs w:val="22"/>
        </w:rPr>
        <w:t>de cancelación, refundiéndolo en otro asiento (vg  en la consolidación de la nuda propiedad, ex 192 RH).</w:t>
      </w:r>
    </w:p>
    <w:p w:rsidR="000C026D" w:rsidRDefault="000C026D" w:rsidP="000C026D">
      <w:pPr>
        <w:overflowPunct/>
        <w:autoSpaceDE/>
        <w:autoSpaceDN/>
        <w:adjustRightInd/>
        <w:ind w:left="1418"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0C026D" w:rsidRPr="00D8690C" w:rsidRDefault="000C026D" w:rsidP="000C02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Además (</w:t>
      </w:r>
      <w:r w:rsidRPr="000B0D55">
        <w:rPr>
          <w:rFonts w:ascii="Calibri" w:hAnsi="Calibri" w:cs="Calibri"/>
          <w:sz w:val="22"/>
          <w:szCs w:val="22"/>
        </w:rPr>
        <w:t>195 RH)</w:t>
      </w:r>
      <w:r>
        <w:rPr>
          <w:rFonts w:ascii="Calibri" w:hAnsi="Calibri" w:cs="Calibri"/>
          <w:sz w:val="22"/>
          <w:szCs w:val="22"/>
        </w:rPr>
        <w:t xml:space="preserve"> </w:t>
      </w:r>
      <w:r w:rsidRPr="000B0D55">
        <w:rPr>
          <w:rFonts w:ascii="Calibri" w:hAnsi="Calibri" w:cs="Calibri"/>
          <w:sz w:val="22"/>
          <w:szCs w:val="22"/>
        </w:rPr>
        <w:t>al margen de la inscripción ó anotación cancelada</w:t>
      </w:r>
      <w:r>
        <w:rPr>
          <w:rFonts w:ascii="Calibri" w:hAnsi="Calibri" w:cs="Calibri"/>
          <w:sz w:val="22"/>
          <w:szCs w:val="22"/>
        </w:rPr>
        <w:t xml:space="preserve"> se extenderá la oportuna nota marginal de referencia.</w:t>
      </w:r>
    </w:p>
    <w:p w:rsidR="00493C0C" w:rsidRDefault="00493C0C" w:rsidP="005F61EE">
      <w:pPr>
        <w:jc w:val="both"/>
        <w:rPr>
          <w:rFonts w:ascii="Calibri" w:hAnsi="Calibri" w:cs="Arial"/>
          <w:sz w:val="22"/>
          <w:szCs w:val="22"/>
        </w:rPr>
      </w:pPr>
    </w:p>
    <w:p w:rsidR="000F5099" w:rsidRDefault="000F5099" w:rsidP="000C026D">
      <w:pPr>
        <w:ind w:left="680"/>
        <w:jc w:val="both"/>
        <w:rPr>
          <w:rFonts w:ascii="Calibri" w:hAnsi="Calibri" w:cs="Arial"/>
          <w:sz w:val="22"/>
          <w:szCs w:val="22"/>
        </w:rPr>
      </w:pPr>
      <w:r w:rsidRPr="000F5099">
        <w:rPr>
          <w:rFonts w:ascii="Calibri" w:hAnsi="Calibri" w:cs="Arial"/>
          <w:b/>
          <w:sz w:val="22"/>
          <w:szCs w:val="22"/>
        </w:rPr>
        <w:t xml:space="preserve">76 LH </w:t>
      </w:r>
      <w:r w:rsidRPr="00350AEC">
        <w:rPr>
          <w:rFonts w:ascii="Calibri" w:hAnsi="Calibri" w:cs="Arial"/>
          <w:b/>
          <w:i/>
          <w:color w:val="808080"/>
          <w:sz w:val="22"/>
          <w:szCs w:val="22"/>
        </w:rPr>
        <w:t>Las inscripciones no se extinguen, en cuanto a tercero, sino por su cancelación o por la inscripción de la transferencia del dominio o derecho real inscrito a favor de otra persona</w:t>
      </w:r>
    </w:p>
    <w:p w:rsidR="000C026D" w:rsidRDefault="000C026D" w:rsidP="000C026D">
      <w:pPr>
        <w:ind w:left="680"/>
        <w:jc w:val="both"/>
        <w:rPr>
          <w:rFonts w:ascii="Calibri" w:hAnsi="Calibri" w:cs="Arial"/>
          <w:sz w:val="22"/>
          <w:szCs w:val="22"/>
        </w:rPr>
      </w:pPr>
    </w:p>
    <w:p w:rsidR="000C026D" w:rsidRDefault="000F5099" w:rsidP="000C026D">
      <w:pPr>
        <w:ind w:left="138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Entre</w:t>
      </w:r>
      <w:r w:rsidR="00D8690C" w:rsidRPr="002B48BA">
        <w:rPr>
          <w:rFonts w:ascii="Calibri" w:hAnsi="Calibri" w:cs="Arial"/>
          <w:sz w:val="22"/>
          <w:szCs w:val="22"/>
        </w:rPr>
        <w:t xml:space="preserve"> transferencia y cancelación propiamente dicha existe una DIFERENCIA FUNDAMENTAL: </w:t>
      </w:r>
    </w:p>
    <w:p w:rsidR="000C026D" w:rsidRDefault="000C026D" w:rsidP="000C026D">
      <w:pPr>
        <w:ind w:left="1389"/>
        <w:jc w:val="both"/>
        <w:rPr>
          <w:rFonts w:ascii="Calibri" w:hAnsi="Calibri" w:cs="Arial"/>
          <w:sz w:val="22"/>
          <w:szCs w:val="22"/>
        </w:rPr>
      </w:pPr>
    </w:p>
    <w:p w:rsidR="000C026D" w:rsidRDefault="000C026D" w:rsidP="000C026D">
      <w:pPr>
        <w:ind w:left="2098"/>
        <w:jc w:val="both"/>
        <w:rPr>
          <w:rFonts w:ascii="Calibri" w:hAnsi="Calibri" w:cs="Arial"/>
          <w:sz w:val="22"/>
          <w:szCs w:val="22"/>
        </w:rPr>
      </w:pPr>
      <w:r w:rsidRPr="00350AEC">
        <w:rPr>
          <w:rFonts w:ascii="Calibri" w:hAnsi="Calibri" w:cs="Arial"/>
          <w:b/>
          <w:i/>
          <w:color w:val="808080"/>
          <w:sz w:val="22"/>
          <w:szCs w:val="22"/>
        </w:rPr>
        <w:t>C</w:t>
      </w:r>
      <w:r w:rsidR="000F5099" w:rsidRPr="00350AEC">
        <w:rPr>
          <w:rFonts w:ascii="Calibri" w:hAnsi="Calibri" w:cs="Arial"/>
          <w:b/>
          <w:i/>
          <w:color w:val="808080"/>
          <w:sz w:val="22"/>
          <w:szCs w:val="22"/>
        </w:rPr>
        <w:t xml:space="preserve">ancelado un asiento se presume </w:t>
      </w:r>
      <w:r w:rsidRPr="000C026D">
        <w:rPr>
          <w:rFonts w:ascii="Calibri" w:hAnsi="Calibri" w:cs="Arial"/>
          <w:sz w:val="22"/>
          <w:szCs w:val="22"/>
        </w:rPr>
        <w:t xml:space="preserve">(iuris tantum, INTER PARTES; iuris et de iure, FRENTE A TERCERO, 34 LH) </w:t>
      </w:r>
      <w:r w:rsidR="000F5099" w:rsidRPr="00350AEC">
        <w:rPr>
          <w:rFonts w:ascii="Calibri" w:hAnsi="Calibri" w:cs="Arial"/>
          <w:b/>
          <w:i/>
          <w:color w:val="808080"/>
          <w:sz w:val="22"/>
          <w:szCs w:val="22"/>
        </w:rPr>
        <w:t>extinguido el derecho a que dicho asiento se refiera</w:t>
      </w:r>
      <w:r w:rsidR="000F5099">
        <w:rPr>
          <w:rFonts w:ascii="Calibri" w:hAnsi="Calibri" w:cs="Arial"/>
          <w:sz w:val="22"/>
          <w:szCs w:val="22"/>
        </w:rPr>
        <w:t xml:space="preserve"> </w:t>
      </w:r>
      <w:r w:rsidR="00D8690C">
        <w:rPr>
          <w:rFonts w:ascii="Calibri" w:hAnsi="Calibri" w:cs="Arial"/>
          <w:sz w:val="22"/>
          <w:szCs w:val="22"/>
        </w:rPr>
        <w:t>(97 LH)</w:t>
      </w:r>
    </w:p>
    <w:p w:rsidR="000C026D" w:rsidRDefault="000C026D" w:rsidP="000C026D">
      <w:pPr>
        <w:ind w:left="2098"/>
        <w:jc w:val="both"/>
        <w:rPr>
          <w:rFonts w:ascii="Calibri" w:hAnsi="Calibri" w:cs="Arial"/>
          <w:sz w:val="22"/>
          <w:szCs w:val="22"/>
        </w:rPr>
      </w:pPr>
    </w:p>
    <w:p w:rsidR="00D8690C" w:rsidRDefault="000C026D" w:rsidP="000C026D">
      <w:pPr>
        <w:ind w:left="209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</w:t>
      </w:r>
      <w:r w:rsidR="00D8690C" w:rsidRPr="002B48BA">
        <w:rPr>
          <w:rFonts w:ascii="Calibri" w:hAnsi="Calibri" w:cs="Arial"/>
          <w:sz w:val="22"/>
          <w:szCs w:val="22"/>
        </w:rPr>
        <w:t xml:space="preserve">entras que la inscripción de transferencia  </w:t>
      </w:r>
      <w:r w:rsidR="000F5099">
        <w:rPr>
          <w:rFonts w:ascii="Calibri" w:hAnsi="Calibri" w:cs="Arial"/>
          <w:sz w:val="22"/>
          <w:szCs w:val="22"/>
        </w:rPr>
        <w:t xml:space="preserve">simplemente </w:t>
      </w:r>
      <w:r w:rsidR="00D8690C" w:rsidRPr="002B48BA">
        <w:rPr>
          <w:rFonts w:ascii="Calibri" w:hAnsi="Calibri" w:cs="Arial"/>
          <w:sz w:val="22"/>
          <w:szCs w:val="22"/>
        </w:rPr>
        <w:t>constata “</w:t>
      </w:r>
      <w:r w:rsidR="00D8690C" w:rsidRPr="000F5099">
        <w:rPr>
          <w:rFonts w:ascii="Calibri" w:hAnsi="Calibri" w:cs="Arial"/>
          <w:sz w:val="22"/>
          <w:szCs w:val="22"/>
        </w:rPr>
        <w:t>un cambio de titularidad</w:t>
      </w:r>
      <w:r w:rsidR="00D8690C" w:rsidRPr="002B48BA">
        <w:rPr>
          <w:rFonts w:ascii="Calibri" w:hAnsi="Calibri" w:cs="Arial"/>
          <w:sz w:val="22"/>
          <w:szCs w:val="22"/>
        </w:rPr>
        <w:t xml:space="preserve">” en el dº </w:t>
      </w:r>
      <w:r w:rsidR="005F61EE">
        <w:rPr>
          <w:rFonts w:ascii="Calibri" w:hAnsi="Calibri" w:cs="Arial"/>
          <w:sz w:val="22"/>
          <w:szCs w:val="22"/>
        </w:rPr>
        <w:t>registrado</w:t>
      </w:r>
      <w:r>
        <w:rPr>
          <w:rFonts w:ascii="Calibri" w:hAnsi="Calibri" w:cs="Arial"/>
          <w:sz w:val="22"/>
          <w:szCs w:val="22"/>
        </w:rPr>
        <w:t xml:space="preserve"> (d</w:t>
      </w:r>
      <w:r w:rsidR="000F5099">
        <w:rPr>
          <w:rFonts w:ascii="Calibri" w:hAnsi="Calibri" w:cs="Arial"/>
          <w:sz w:val="22"/>
          <w:szCs w:val="22"/>
        </w:rPr>
        <w:t>e ahí que c</w:t>
      </w:r>
      <w:r w:rsidR="00D8690C" w:rsidRPr="000F5099">
        <w:rPr>
          <w:rFonts w:ascii="Calibri" w:hAnsi="Calibri" w:cs="Arial"/>
          <w:sz w:val="22"/>
          <w:szCs w:val="22"/>
        </w:rPr>
        <w:t xml:space="preserve">ancelada </w:t>
      </w:r>
      <w:r w:rsidR="00493C0C">
        <w:rPr>
          <w:rFonts w:ascii="Calibri" w:hAnsi="Calibri" w:cs="Arial"/>
          <w:sz w:val="22"/>
          <w:szCs w:val="22"/>
        </w:rPr>
        <w:t>una</w:t>
      </w:r>
      <w:r w:rsidR="00D8690C" w:rsidRPr="000F5099">
        <w:rPr>
          <w:rFonts w:ascii="Calibri" w:hAnsi="Calibri" w:cs="Arial"/>
          <w:sz w:val="22"/>
          <w:szCs w:val="22"/>
        </w:rPr>
        <w:t xml:space="preserve"> inscripción de transferencia por causa de nulidad</w:t>
      </w:r>
      <w:r w:rsidR="00D8690C" w:rsidRPr="002B48BA">
        <w:rPr>
          <w:rFonts w:ascii="Calibri" w:hAnsi="Calibri" w:cs="Arial"/>
          <w:sz w:val="22"/>
          <w:szCs w:val="22"/>
        </w:rPr>
        <w:t xml:space="preserve"> </w:t>
      </w:r>
      <w:r w:rsidR="008825D1">
        <w:rPr>
          <w:rFonts w:ascii="Calibri" w:hAnsi="Calibri" w:cs="Arial"/>
          <w:sz w:val="22"/>
          <w:szCs w:val="22"/>
        </w:rPr>
        <w:t>“reviva”</w:t>
      </w:r>
      <w:r w:rsidR="000F5099">
        <w:rPr>
          <w:rFonts w:ascii="Calibri" w:hAnsi="Calibri" w:cs="Arial"/>
          <w:sz w:val="22"/>
          <w:szCs w:val="22"/>
        </w:rPr>
        <w:t xml:space="preserve"> </w:t>
      </w:r>
      <w:r w:rsidR="00D8690C" w:rsidRPr="002B48BA">
        <w:rPr>
          <w:rFonts w:ascii="Calibri" w:hAnsi="Calibri" w:cs="Arial"/>
          <w:sz w:val="22"/>
          <w:szCs w:val="22"/>
        </w:rPr>
        <w:t>la inscripción anterior</w:t>
      </w:r>
      <w:r>
        <w:rPr>
          <w:rFonts w:ascii="Calibri" w:hAnsi="Calibri" w:cs="Arial"/>
          <w:sz w:val="22"/>
          <w:szCs w:val="22"/>
        </w:rPr>
        <w:t>)</w:t>
      </w:r>
    </w:p>
    <w:p w:rsidR="000C026D" w:rsidRDefault="000C026D" w:rsidP="000C026D">
      <w:pPr>
        <w:ind w:left="680"/>
        <w:jc w:val="both"/>
        <w:rPr>
          <w:rFonts w:ascii="Calibri" w:hAnsi="Calibri" w:cs="Arial"/>
          <w:sz w:val="22"/>
          <w:szCs w:val="22"/>
          <w:lang w:val="es-ES"/>
        </w:rPr>
      </w:pPr>
    </w:p>
    <w:p w:rsidR="000C026D" w:rsidRPr="00B7586D" w:rsidRDefault="000C026D" w:rsidP="000C026D">
      <w:pPr>
        <w:ind w:left="680"/>
        <w:jc w:val="both"/>
        <w:rPr>
          <w:rFonts w:ascii="Calibri" w:hAnsi="Calibri" w:cs="Arial"/>
          <w:sz w:val="22"/>
          <w:szCs w:val="22"/>
          <w:lang w:val="es-ES"/>
        </w:rPr>
      </w:pPr>
      <w:r w:rsidRPr="00B7586D">
        <w:rPr>
          <w:rFonts w:ascii="Calibri" w:hAnsi="Calibri" w:cs="Arial"/>
          <w:b/>
          <w:sz w:val="22"/>
          <w:szCs w:val="22"/>
          <w:lang w:val="es-ES"/>
        </w:rPr>
        <w:t>77 LH</w:t>
      </w:r>
      <w:r w:rsidRPr="00B7586D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B7586D">
        <w:rPr>
          <w:rFonts w:ascii="Calibri" w:hAnsi="Calibri" w:cs="Arial"/>
          <w:b/>
          <w:i/>
          <w:color w:val="808080"/>
          <w:sz w:val="22"/>
          <w:szCs w:val="22"/>
        </w:rPr>
        <w:t>Las anotaciones preventivas se extinguen por cancelación, por caducidad o por su conversión en inscripción</w:t>
      </w:r>
    </w:p>
    <w:p w:rsidR="000C026D" w:rsidRDefault="000C026D" w:rsidP="000C026D">
      <w:pPr>
        <w:jc w:val="both"/>
        <w:rPr>
          <w:rFonts w:ascii="Calibri" w:hAnsi="Calibri" w:cs="Arial"/>
          <w:sz w:val="22"/>
          <w:szCs w:val="22"/>
        </w:rPr>
      </w:pPr>
    </w:p>
    <w:p w:rsidR="000C026D" w:rsidRDefault="000C026D" w:rsidP="000C026D">
      <w:pPr>
        <w:jc w:val="both"/>
        <w:rPr>
          <w:rFonts w:ascii="Calibri" w:hAnsi="Calibri" w:cs="Arial"/>
          <w:sz w:val="22"/>
          <w:szCs w:val="22"/>
        </w:rPr>
      </w:pPr>
    </w:p>
    <w:p w:rsidR="00D8690C" w:rsidRPr="002B48BA" w:rsidRDefault="00493C0C" w:rsidP="00D8690C">
      <w:pPr>
        <w:jc w:val="both"/>
        <w:rPr>
          <w:rFonts w:ascii="Calibri" w:hAnsi="Calibri" w:cs="Arial"/>
          <w:sz w:val="22"/>
          <w:szCs w:val="22"/>
        </w:rPr>
      </w:pPr>
      <w:r w:rsidRPr="00493C0C">
        <w:rPr>
          <w:rFonts w:ascii="Calibri" w:hAnsi="Calibri" w:cs="Arial"/>
          <w:b/>
          <w:sz w:val="22"/>
          <w:szCs w:val="22"/>
        </w:rPr>
        <w:t>CLASES</w:t>
      </w:r>
      <w:r w:rsidR="00D8690C" w:rsidRPr="002B48BA">
        <w:rPr>
          <w:rFonts w:ascii="Calibri" w:hAnsi="Calibri" w:cs="Arial"/>
          <w:sz w:val="22"/>
          <w:szCs w:val="22"/>
        </w:rPr>
        <w:t xml:space="preserve"> </w:t>
      </w:r>
    </w:p>
    <w:p w:rsidR="00D8690C" w:rsidRDefault="00D8690C" w:rsidP="00D8690C">
      <w:pPr>
        <w:jc w:val="both"/>
        <w:rPr>
          <w:rFonts w:ascii="Calibri" w:hAnsi="Calibri" w:cs="Arial"/>
          <w:sz w:val="22"/>
          <w:szCs w:val="22"/>
        </w:rPr>
      </w:pPr>
    </w:p>
    <w:p w:rsidR="00493C0C" w:rsidRPr="000B0D55" w:rsidRDefault="00493C0C" w:rsidP="00493C0C">
      <w:pPr>
        <w:jc w:val="both"/>
        <w:rPr>
          <w:rFonts w:ascii="Calibri" w:hAnsi="Calibri" w:cs="Arial"/>
          <w:sz w:val="22"/>
          <w:szCs w:val="22"/>
        </w:rPr>
      </w:pPr>
      <w:r w:rsidRPr="000B0D55">
        <w:rPr>
          <w:rFonts w:ascii="Calibri" w:hAnsi="Calibri" w:cs="Arial"/>
          <w:sz w:val="22"/>
          <w:szCs w:val="22"/>
        </w:rPr>
        <w:t xml:space="preserve">Por su origen: </w:t>
      </w:r>
    </w:p>
    <w:p w:rsidR="00493C0C" w:rsidRPr="00493C0C" w:rsidRDefault="00493C0C" w:rsidP="00493C0C">
      <w:pPr>
        <w:jc w:val="both"/>
        <w:rPr>
          <w:rFonts w:ascii="Calibri" w:hAnsi="Calibri" w:cs="Arial"/>
          <w:sz w:val="22"/>
          <w:szCs w:val="22"/>
        </w:rPr>
      </w:pPr>
    </w:p>
    <w:p w:rsidR="00493C0C" w:rsidRPr="00493C0C" w:rsidRDefault="00493C0C" w:rsidP="00493C0C">
      <w:pPr>
        <w:ind w:left="709"/>
        <w:jc w:val="both"/>
        <w:rPr>
          <w:rFonts w:ascii="Calibri" w:hAnsi="Calibri" w:cs="Arial"/>
          <w:sz w:val="22"/>
          <w:szCs w:val="22"/>
        </w:rPr>
      </w:pPr>
      <w:r w:rsidRPr="00493C0C">
        <w:rPr>
          <w:rFonts w:ascii="Calibri" w:hAnsi="Calibri" w:cs="Arial"/>
          <w:sz w:val="22"/>
          <w:szCs w:val="22"/>
        </w:rPr>
        <w:t>Voluntarias (a petición de parte)</w:t>
      </w:r>
    </w:p>
    <w:p w:rsidR="00493C0C" w:rsidRPr="00493C0C" w:rsidRDefault="00493C0C" w:rsidP="00493C0C">
      <w:pPr>
        <w:ind w:left="709"/>
        <w:jc w:val="both"/>
        <w:rPr>
          <w:rFonts w:ascii="Calibri" w:hAnsi="Calibri" w:cs="Arial"/>
          <w:sz w:val="22"/>
          <w:szCs w:val="22"/>
        </w:rPr>
      </w:pPr>
      <w:r w:rsidRPr="00493C0C">
        <w:rPr>
          <w:rFonts w:ascii="Calibri" w:hAnsi="Calibri" w:cs="Arial"/>
          <w:sz w:val="22"/>
          <w:szCs w:val="22"/>
        </w:rPr>
        <w:t xml:space="preserve">De oficio (las impone la Ley, vg </w:t>
      </w:r>
      <w:r>
        <w:rPr>
          <w:rFonts w:ascii="Calibri" w:hAnsi="Calibri" w:cs="Arial"/>
          <w:sz w:val="22"/>
          <w:szCs w:val="22"/>
        </w:rPr>
        <w:t xml:space="preserve">por </w:t>
      </w:r>
      <w:r w:rsidRPr="002B48BA">
        <w:rPr>
          <w:rFonts w:ascii="Calibri" w:hAnsi="Calibri" w:cs="Arial"/>
          <w:sz w:val="22"/>
          <w:szCs w:val="22"/>
        </w:rPr>
        <w:t>caducidad de los asientos registrales</w:t>
      </w:r>
      <w:r w:rsidRPr="00493C0C">
        <w:rPr>
          <w:rFonts w:ascii="Calibri" w:hAnsi="Calibri" w:cs="Arial"/>
          <w:sz w:val="22"/>
          <w:szCs w:val="22"/>
        </w:rPr>
        <w:t>)</w:t>
      </w:r>
    </w:p>
    <w:p w:rsidR="00493C0C" w:rsidRPr="00493C0C" w:rsidRDefault="00493C0C" w:rsidP="00493C0C">
      <w:pPr>
        <w:ind w:left="709"/>
        <w:jc w:val="both"/>
        <w:rPr>
          <w:rFonts w:ascii="Calibri" w:hAnsi="Calibri" w:cs="Arial"/>
          <w:sz w:val="22"/>
          <w:szCs w:val="22"/>
        </w:rPr>
      </w:pPr>
      <w:r w:rsidRPr="00493C0C">
        <w:rPr>
          <w:rFonts w:ascii="Calibri" w:hAnsi="Calibri" w:cs="Arial"/>
          <w:sz w:val="22"/>
          <w:szCs w:val="22"/>
        </w:rPr>
        <w:t xml:space="preserve">Judiciales/Administrativas (en virtud de mandamiento, vg  </w:t>
      </w:r>
      <w:r>
        <w:rPr>
          <w:rFonts w:ascii="Calibri" w:hAnsi="Calibri" w:cs="Arial"/>
          <w:sz w:val="22"/>
          <w:szCs w:val="22"/>
        </w:rPr>
        <w:t xml:space="preserve">de </w:t>
      </w:r>
      <w:r w:rsidRPr="00493C0C">
        <w:rPr>
          <w:rFonts w:ascii="Calibri" w:hAnsi="Calibri" w:cs="Arial"/>
          <w:sz w:val="22"/>
          <w:szCs w:val="22"/>
        </w:rPr>
        <w:t>embargo)</w:t>
      </w:r>
    </w:p>
    <w:p w:rsidR="00493C0C" w:rsidRDefault="00493C0C" w:rsidP="00D8690C">
      <w:pPr>
        <w:jc w:val="both"/>
        <w:rPr>
          <w:rFonts w:ascii="Calibri" w:hAnsi="Calibri" w:cs="Arial"/>
          <w:sz w:val="22"/>
          <w:szCs w:val="22"/>
        </w:rPr>
      </w:pPr>
    </w:p>
    <w:p w:rsidR="000B0D55" w:rsidRPr="000B0D55" w:rsidRDefault="000B0D55" w:rsidP="000B0D5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0"/>
        <w:jc w:val="both"/>
        <w:rPr>
          <w:rFonts w:ascii="Calibri" w:hAnsi="Calibri" w:cs="Calibri"/>
          <w:sz w:val="22"/>
          <w:szCs w:val="22"/>
        </w:rPr>
      </w:pPr>
    </w:p>
    <w:p w:rsidR="00D8690C" w:rsidRPr="002B48BA" w:rsidRDefault="00493C0C" w:rsidP="00493C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Total/parcial  -  C</w:t>
      </w:r>
      <w:r w:rsidR="00D8690C" w:rsidRPr="005F61EE">
        <w:rPr>
          <w:rFonts w:ascii="Calibri" w:hAnsi="Calibri" w:cs="Arial"/>
          <w:i/>
          <w:iCs/>
          <w:sz w:val="22"/>
          <w:szCs w:val="22"/>
        </w:rPr>
        <w:t>on</w:t>
      </w:r>
      <w:r>
        <w:rPr>
          <w:rFonts w:ascii="Calibri" w:hAnsi="Calibri" w:cs="Arial"/>
          <w:i/>
          <w:iCs/>
          <w:sz w:val="22"/>
          <w:szCs w:val="22"/>
        </w:rPr>
        <w:t>/</w:t>
      </w:r>
      <w:r w:rsidR="00D8690C" w:rsidRPr="005F61EE">
        <w:rPr>
          <w:rFonts w:ascii="Calibri" w:hAnsi="Calibri" w:cs="Arial"/>
          <w:i/>
          <w:iCs/>
          <w:sz w:val="22"/>
          <w:szCs w:val="22"/>
        </w:rPr>
        <w:t>contra</w:t>
      </w:r>
      <w:r>
        <w:rPr>
          <w:rFonts w:ascii="Calibri" w:hAnsi="Calibri" w:cs="Arial"/>
          <w:i/>
          <w:iCs/>
          <w:sz w:val="22"/>
          <w:szCs w:val="22"/>
        </w:rPr>
        <w:t>/</w:t>
      </w:r>
      <w:r w:rsidR="00D8690C" w:rsidRPr="005F61EE">
        <w:rPr>
          <w:rFonts w:ascii="Calibri" w:hAnsi="Calibri" w:cs="Arial"/>
          <w:i/>
          <w:iCs/>
          <w:sz w:val="22"/>
          <w:szCs w:val="22"/>
        </w:rPr>
        <w:t>sin</w:t>
      </w:r>
      <w:r w:rsidR="00D8690C" w:rsidRPr="002B48BA">
        <w:rPr>
          <w:rFonts w:ascii="Calibri" w:hAnsi="Calibri" w:cs="Arial"/>
          <w:sz w:val="22"/>
          <w:szCs w:val="22"/>
        </w:rPr>
        <w:t xml:space="preserve"> el consentimiento del titular registral </w:t>
      </w:r>
      <w:r>
        <w:rPr>
          <w:rFonts w:ascii="Calibri" w:hAnsi="Calibri" w:cs="Arial"/>
          <w:sz w:val="22"/>
          <w:szCs w:val="22"/>
        </w:rPr>
        <w:t xml:space="preserve">   LUEGO</w:t>
      </w:r>
    </w:p>
    <w:p w:rsidR="000B0D55" w:rsidRDefault="000B0D55" w:rsidP="000B0D55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0B0D55" w:rsidRDefault="000B0D55" w:rsidP="000B0D55">
      <w:pPr>
        <w:jc w:val="both"/>
        <w:rPr>
          <w:rFonts w:ascii="Calibri" w:hAnsi="Calibri" w:cs="Arial"/>
          <w:sz w:val="22"/>
          <w:szCs w:val="22"/>
        </w:rPr>
      </w:pPr>
      <w:r w:rsidRPr="000B0D55">
        <w:rPr>
          <w:rFonts w:ascii="Calibri" w:hAnsi="Calibri" w:cs="Arial"/>
          <w:sz w:val="22"/>
          <w:szCs w:val="22"/>
        </w:rPr>
        <w:t xml:space="preserve">Atendiendo a las </w:t>
      </w:r>
      <w:r w:rsidRPr="000B0D55">
        <w:rPr>
          <w:rFonts w:ascii="Calibri" w:hAnsi="Calibri" w:cs="Arial"/>
          <w:i/>
          <w:sz w:val="22"/>
          <w:szCs w:val="22"/>
        </w:rPr>
        <w:t xml:space="preserve">circunstancias </w:t>
      </w:r>
      <w:r w:rsidRPr="000B0D55">
        <w:rPr>
          <w:rFonts w:ascii="Calibri" w:hAnsi="Calibri" w:cs="Arial"/>
          <w:sz w:val="22"/>
          <w:szCs w:val="22"/>
        </w:rPr>
        <w:t xml:space="preserve">que debe expresar el asiento de cc, las cc pueden ser extensas (en cuyo </w:t>
      </w:r>
      <w:r w:rsidRPr="002B48BA">
        <w:rPr>
          <w:rFonts w:ascii="Calibri" w:hAnsi="Calibri" w:cs="Arial"/>
          <w:sz w:val="22"/>
          <w:szCs w:val="22"/>
        </w:rPr>
        <w:t xml:space="preserve">caso deberán contener todas las circunstancias expresadas en el </w:t>
      </w:r>
      <w:r w:rsidR="00E42268">
        <w:rPr>
          <w:rFonts w:ascii="Calibri" w:hAnsi="Calibri" w:cs="Arial"/>
          <w:sz w:val="22"/>
          <w:szCs w:val="22"/>
        </w:rPr>
        <w:t xml:space="preserve"> </w:t>
      </w:r>
      <w:r w:rsidRPr="00E42268">
        <w:rPr>
          <w:rFonts w:ascii="Calibri" w:hAnsi="Calibri" w:cs="Arial"/>
          <w:sz w:val="22"/>
          <w:szCs w:val="22"/>
        </w:rPr>
        <w:t>art 103 LH</w:t>
      </w:r>
      <w:r w:rsidRPr="002B48BA">
        <w:rPr>
          <w:rFonts w:ascii="Calibri" w:hAnsi="Calibri" w:cs="Arial"/>
          <w:sz w:val="22"/>
          <w:szCs w:val="22"/>
        </w:rPr>
        <w:t>) y concisas.</w:t>
      </w:r>
    </w:p>
    <w:p w:rsidR="00E42268" w:rsidRDefault="00E42268" w:rsidP="000B0D55">
      <w:pPr>
        <w:jc w:val="both"/>
        <w:rPr>
          <w:rFonts w:ascii="Calibri" w:hAnsi="Calibri" w:cs="Arial"/>
          <w:sz w:val="22"/>
          <w:szCs w:val="22"/>
        </w:rPr>
      </w:pPr>
    </w:p>
    <w:p w:rsidR="00E42268" w:rsidRPr="002B48BA" w:rsidRDefault="00E42268" w:rsidP="00E42268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EXTENSAS</w:t>
      </w:r>
    </w:p>
    <w:p w:rsidR="00D601C0" w:rsidRPr="00D8690C" w:rsidRDefault="00D601C0" w:rsidP="00D8690C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04960" w:rsidRDefault="00A04960" w:rsidP="00A04960">
      <w:pPr>
        <w:widowControl w:val="0"/>
        <w:tabs>
          <w:tab w:val="left" w:pos="397"/>
        </w:tabs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A04960">
        <w:rPr>
          <w:rFonts w:ascii="Calibri" w:hAnsi="Calibri" w:cs="Calibri"/>
          <w:b/>
          <w:bCs/>
          <w:sz w:val="22"/>
          <w:szCs w:val="22"/>
        </w:rPr>
        <w:t>103 L</w:t>
      </w:r>
      <w:r w:rsidR="000B0D55"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 xml:space="preserve"> </w:t>
      </w:r>
      <w:r w:rsidR="00D601C0" w:rsidRPr="00A04960">
        <w:rPr>
          <w:rFonts w:ascii="Calibri" w:hAnsi="Calibri" w:cs="Calibri"/>
          <w:b/>
          <w:bCs/>
          <w:color w:val="1F497D"/>
          <w:sz w:val="22"/>
          <w:szCs w:val="22"/>
        </w:rPr>
        <w:tab/>
      </w:r>
      <w:r w:rsidRPr="00A0496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La </w:t>
      </w:r>
      <w:r w:rsid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CC</w:t>
      </w:r>
      <w:r w:rsidRPr="00A0496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de toda inscripción ó anotación preventiva contendrá necesariamente las siguientes circunstancias:</w:t>
      </w:r>
    </w:p>
    <w:p w:rsidR="00A04960" w:rsidRDefault="00A04960" w:rsidP="00A04960">
      <w:pPr>
        <w:widowControl w:val="0"/>
        <w:tabs>
          <w:tab w:val="left" w:pos="397"/>
        </w:tabs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A04960" w:rsidRPr="00314510" w:rsidRDefault="00E42268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E42268">
        <w:rPr>
          <w:rFonts w:ascii="Calibri" w:hAnsi="Calibri" w:cs="Calibri"/>
          <w:bCs/>
          <w:iCs/>
          <w:color w:val="7F7F7F"/>
        </w:rPr>
        <w:t>(1)</w:t>
      </w:r>
      <w:r>
        <w:rPr>
          <w:rFonts w:ascii="Calibri" w:hAnsi="Calibri" w:cs="Calibri"/>
          <w:bCs/>
          <w:iCs/>
          <w:color w:val="7F7F7F"/>
        </w:rPr>
        <w:t xml:space="preserve"> </w:t>
      </w:r>
      <w:r w:rsidRPr="00E42268">
        <w:rPr>
          <w:rFonts w:ascii="Calibri" w:hAnsi="Calibri" w:cs="Calibri"/>
          <w:bCs/>
          <w:iCs/>
          <w:color w:val="7F7F7F"/>
        </w:rPr>
        <w:t xml:space="preserve"> 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  <w:u w:val="single"/>
        </w:rPr>
        <w:t>La clase y fecha del documento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en cuya virtud se haga la </w:t>
      </w:r>
      <w:r w:rsid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CC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y el nombre del Notario que lo haya autorizado ó el del Juez, Tribunal ó Autoridad que lo hubiere expedido.</w:t>
      </w:r>
    </w:p>
    <w:p w:rsidR="00A04960" w:rsidRPr="00314510" w:rsidRDefault="00A0496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A04960" w:rsidRPr="00314510" w:rsidRDefault="00E42268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E42268">
        <w:rPr>
          <w:rFonts w:ascii="Calibri" w:hAnsi="Calibri" w:cs="Calibri"/>
          <w:bCs/>
          <w:iCs/>
          <w:color w:val="7F7F7F"/>
        </w:rPr>
        <w:t xml:space="preserve">(2) 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El 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  <w:u w:val="single"/>
        </w:rPr>
        <w:t>nombre y apellidos de la persona a cuya instancia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ó con cuyo consentimiento se verifique la </w:t>
      </w:r>
      <w:r w:rsid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CC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.</w:t>
      </w:r>
    </w:p>
    <w:p w:rsidR="00A04960" w:rsidRPr="00314510" w:rsidRDefault="00A0496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A04960" w:rsidRPr="00314510" w:rsidRDefault="00A0496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La expresión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de quedar cancelado </w:t>
      </w:r>
      <w:r w:rsidRPr="000B0D55">
        <w:rPr>
          <w:rFonts w:ascii="Calibri" w:hAnsi="Calibri" w:cs="Calibri"/>
          <w:b/>
          <w:bCs/>
          <w:i/>
          <w:iCs/>
          <w:color w:val="7F7F7F"/>
          <w:sz w:val="22"/>
          <w:szCs w:val="22"/>
          <w:u w:val="single"/>
        </w:rPr>
        <w:t>total o parcialmente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el asiento de que se trate.</w:t>
      </w:r>
    </w:p>
    <w:p w:rsidR="00A04960" w:rsidRPr="00314510" w:rsidRDefault="00A0496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A04960" w:rsidRPr="00314510" w:rsidRDefault="00A04960" w:rsidP="00684AD1">
      <w:pPr>
        <w:widowControl w:val="0"/>
        <w:tabs>
          <w:tab w:val="left" w:pos="397"/>
        </w:tabs>
        <w:ind w:left="1134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La parte del inmueble que haya desaparecido, ó la parte del dº que se extinga y la que 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subsista, cuando se trate de cancelación parcial.</w:t>
      </w:r>
    </w:p>
    <w:p w:rsidR="00A04960" w:rsidRPr="00314510" w:rsidRDefault="00A0496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A04960" w:rsidRPr="00314510" w:rsidRDefault="00E42268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E42268">
        <w:rPr>
          <w:rFonts w:ascii="Calibri" w:hAnsi="Calibri" w:cs="Calibri"/>
          <w:bCs/>
          <w:iCs/>
          <w:color w:val="7F7F7F"/>
        </w:rPr>
        <w:t>(5)</w:t>
      </w:r>
      <w:r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La 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  <w:u w:val="single"/>
        </w:rPr>
        <w:t>fecha de la presentación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en el Registro del título en que se haya convenido ó mandado la cancelación.</w:t>
      </w:r>
    </w:p>
    <w:p w:rsidR="00A04960" w:rsidRPr="00314510" w:rsidRDefault="00A04960" w:rsidP="00684AD1">
      <w:pPr>
        <w:widowControl w:val="0"/>
        <w:tabs>
          <w:tab w:val="left" w:pos="397"/>
        </w:tabs>
        <w:ind w:left="1049" w:hanging="340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314510" w:rsidRPr="00314510" w:rsidRDefault="00A0496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Cuando la cancelación se practique </w:t>
      </w:r>
      <w:r w:rsidR="00314510" w:rsidRP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por declaración de la Ley ó resulte del mismo título en cuya virtud se practicó la inscripción ó anotación preventiva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, se expresará la </w:t>
      </w:r>
      <w:r w:rsidR="000B0D55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RAZÓN DETERMINANTE DE LA EXTINCIÓN 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del d</w:t>
      </w:r>
      <w:r w:rsidR="0031451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º 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inscrito</w:t>
      </w:r>
      <w:r w:rsid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/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anotado.</w:t>
      </w:r>
    </w:p>
    <w:p w:rsidR="00314510" w:rsidRPr="00314510" w:rsidRDefault="0031451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314510" w:rsidRPr="00314510" w:rsidRDefault="00A04960" w:rsidP="00684AD1">
      <w:pPr>
        <w:widowControl w:val="0"/>
        <w:tabs>
          <w:tab w:val="left" w:pos="397"/>
        </w:tabs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Cuando se cancele una anotación preventiva en virtud de documento privado, cuyas firmas no 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se hallen legitimadas, la cancelación expresará la fe de conocimiento por el Registrador</w:t>
      </w:r>
      <w:r w:rsid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de los que suscriban el documento o de los testigos</w:t>
      </w:r>
      <w:r w:rsid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</w:t>
      </w:r>
      <w:r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en su defecto.</w:t>
      </w:r>
    </w:p>
    <w:p w:rsidR="00314510" w:rsidRPr="00314510" w:rsidRDefault="00314510" w:rsidP="00684AD1">
      <w:pPr>
        <w:widowControl w:val="0"/>
        <w:tabs>
          <w:tab w:val="left" w:pos="397"/>
        </w:tabs>
        <w:ind w:left="104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A04960" w:rsidRPr="00314510" w:rsidRDefault="000B0D55" w:rsidP="00684AD1">
      <w:pPr>
        <w:widowControl w:val="0"/>
        <w:tabs>
          <w:tab w:val="left" w:pos="397"/>
        </w:tabs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0B0D55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LA OMISIÓN DE CUALQUIERA DE ESTAS CIRCUNSTANCIAS DETERMINARÁ LA NULIDAD DEL ASIENTO DE CANCELACIÓN</w:t>
      </w:r>
      <w:r w:rsidR="00A04960" w:rsidRPr="00314510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.</w:t>
      </w:r>
    </w:p>
    <w:p w:rsidR="00314510" w:rsidRDefault="00314510" w:rsidP="00684AD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:rsidR="00A04960" w:rsidRPr="00684AD1" w:rsidRDefault="00A04960" w:rsidP="00684AD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24"/>
        <w:jc w:val="both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 xml:space="preserve">Este precepto se completa con el </w:t>
      </w:r>
      <w:r w:rsidRPr="00684AD1">
        <w:rPr>
          <w:rFonts w:ascii="Calibri" w:hAnsi="Calibri" w:cs="Calibri"/>
          <w:b/>
          <w:bCs/>
          <w:color w:val="984806"/>
          <w:sz w:val="22"/>
          <w:szCs w:val="22"/>
        </w:rPr>
        <w:t>art 193</w:t>
      </w:r>
      <w:r w:rsidR="00314510" w:rsidRPr="00684AD1">
        <w:rPr>
          <w:rFonts w:ascii="Calibri" w:hAnsi="Calibri" w:cs="Calibri"/>
          <w:b/>
          <w:bCs/>
          <w:color w:val="984806"/>
          <w:sz w:val="22"/>
          <w:szCs w:val="22"/>
        </w:rPr>
        <w:t xml:space="preserve"> </w:t>
      </w:r>
      <w:r w:rsidRPr="00684AD1">
        <w:rPr>
          <w:rFonts w:ascii="Calibri" w:hAnsi="Calibri" w:cs="Calibri"/>
          <w:b/>
          <w:bCs/>
          <w:color w:val="984806"/>
          <w:sz w:val="22"/>
          <w:szCs w:val="22"/>
        </w:rPr>
        <w:t>RH</w:t>
      </w:r>
      <w:r w:rsidRPr="00684AD1">
        <w:rPr>
          <w:rFonts w:ascii="Calibri" w:hAnsi="Calibri" w:cs="Calibri"/>
          <w:sz w:val="22"/>
          <w:szCs w:val="22"/>
        </w:rPr>
        <w:t>, que además exige la constancia:</w:t>
      </w:r>
    </w:p>
    <w:p w:rsidR="00E42268" w:rsidRPr="00684AD1" w:rsidRDefault="00E42268" w:rsidP="00684AD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24"/>
        <w:jc w:val="both"/>
        <w:rPr>
          <w:rFonts w:ascii="Calibri" w:hAnsi="Calibri" w:cs="Calibri"/>
          <w:sz w:val="22"/>
          <w:szCs w:val="22"/>
        </w:rPr>
      </w:pPr>
    </w:p>
    <w:p w:rsidR="00963DB9" w:rsidRPr="00684AD1" w:rsidRDefault="00A04960" w:rsidP="00684AD1">
      <w:pPr>
        <w:widowControl w:val="0"/>
        <w:ind w:left="1418"/>
        <w:jc w:val="both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 xml:space="preserve">Del </w:t>
      </w:r>
      <w:r w:rsidRPr="00684AD1">
        <w:rPr>
          <w:rFonts w:ascii="Calibri" w:hAnsi="Calibri" w:cs="Calibri"/>
          <w:i/>
          <w:iCs/>
          <w:sz w:val="22"/>
          <w:szCs w:val="22"/>
        </w:rPr>
        <w:t>número</w:t>
      </w:r>
      <w:r w:rsidRPr="00684AD1">
        <w:rPr>
          <w:rFonts w:ascii="Calibri" w:hAnsi="Calibri" w:cs="Calibri"/>
          <w:sz w:val="22"/>
          <w:szCs w:val="22"/>
        </w:rPr>
        <w:t xml:space="preserve"> de la inscripción </w:t>
      </w:r>
      <w:r w:rsidR="00314510" w:rsidRPr="00684AD1">
        <w:rPr>
          <w:rFonts w:ascii="Calibri" w:hAnsi="Calibri" w:cs="Calibri"/>
          <w:sz w:val="22"/>
          <w:szCs w:val="22"/>
        </w:rPr>
        <w:t>ó</w:t>
      </w:r>
      <w:r w:rsidRPr="00684AD1">
        <w:rPr>
          <w:rFonts w:ascii="Calibri" w:hAnsi="Calibri" w:cs="Calibri"/>
          <w:sz w:val="22"/>
          <w:szCs w:val="22"/>
        </w:rPr>
        <w:t xml:space="preserve"> </w:t>
      </w:r>
      <w:r w:rsidRPr="00684AD1">
        <w:rPr>
          <w:rFonts w:ascii="Calibri" w:hAnsi="Calibri" w:cs="Calibri"/>
          <w:i/>
          <w:iCs/>
          <w:sz w:val="22"/>
          <w:szCs w:val="22"/>
        </w:rPr>
        <w:t>letra</w:t>
      </w:r>
      <w:r w:rsidRPr="00684AD1">
        <w:rPr>
          <w:rFonts w:ascii="Calibri" w:hAnsi="Calibri" w:cs="Calibri"/>
          <w:sz w:val="22"/>
          <w:szCs w:val="22"/>
        </w:rPr>
        <w:t xml:space="preserve"> de la anotación cancelada.</w:t>
      </w:r>
    </w:p>
    <w:p w:rsidR="00963DB9" w:rsidRPr="00684AD1" w:rsidRDefault="00314510" w:rsidP="00684AD1">
      <w:pPr>
        <w:widowControl w:val="0"/>
        <w:ind w:left="1418"/>
        <w:jc w:val="both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 xml:space="preserve">La </w:t>
      </w:r>
      <w:r w:rsidR="00E42268" w:rsidRPr="00684AD1">
        <w:rPr>
          <w:rFonts w:ascii="Calibri" w:hAnsi="Calibri" w:cs="Calibri"/>
          <w:sz w:val="22"/>
          <w:szCs w:val="22"/>
        </w:rPr>
        <w:t>CAUSA</w:t>
      </w:r>
      <w:r w:rsidR="00A04960" w:rsidRPr="00684AD1">
        <w:rPr>
          <w:rFonts w:ascii="Calibri" w:hAnsi="Calibri" w:cs="Calibri"/>
          <w:sz w:val="22"/>
          <w:szCs w:val="22"/>
        </w:rPr>
        <w:t xml:space="preserve"> o razón de la cancelación.</w:t>
      </w:r>
    </w:p>
    <w:p w:rsidR="00963DB9" w:rsidRPr="00684AD1" w:rsidRDefault="00314510" w:rsidP="00684AD1">
      <w:pPr>
        <w:widowControl w:val="0"/>
        <w:ind w:left="1418"/>
        <w:jc w:val="both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 xml:space="preserve">El nº </w:t>
      </w:r>
      <w:r w:rsidR="00A04960" w:rsidRPr="00684AD1">
        <w:rPr>
          <w:rFonts w:ascii="Calibri" w:hAnsi="Calibri" w:cs="Calibri"/>
          <w:sz w:val="22"/>
          <w:szCs w:val="22"/>
        </w:rPr>
        <w:t>del asiento de presentación y tomo del Diario.</w:t>
      </w:r>
    </w:p>
    <w:p w:rsidR="00A04960" w:rsidRPr="00684AD1" w:rsidRDefault="00314510" w:rsidP="00684AD1">
      <w:pPr>
        <w:widowControl w:val="0"/>
        <w:ind w:left="1418"/>
        <w:jc w:val="both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>La f</w:t>
      </w:r>
      <w:r w:rsidR="00A04960" w:rsidRPr="00684AD1">
        <w:rPr>
          <w:rFonts w:ascii="Calibri" w:hAnsi="Calibri" w:cs="Calibri"/>
          <w:sz w:val="22"/>
          <w:szCs w:val="22"/>
        </w:rPr>
        <w:t>echa de la cancelación y</w:t>
      </w:r>
      <w:r w:rsidRPr="00684AD1">
        <w:rPr>
          <w:rFonts w:ascii="Calibri" w:hAnsi="Calibri" w:cs="Calibri"/>
          <w:sz w:val="22"/>
          <w:szCs w:val="22"/>
        </w:rPr>
        <w:t xml:space="preserve"> la</w:t>
      </w:r>
      <w:r w:rsidR="00A04960" w:rsidRPr="00684AD1">
        <w:rPr>
          <w:rFonts w:ascii="Calibri" w:hAnsi="Calibri" w:cs="Calibri"/>
          <w:sz w:val="22"/>
          <w:szCs w:val="22"/>
        </w:rPr>
        <w:t xml:space="preserve"> firma del Registrador.</w:t>
      </w:r>
    </w:p>
    <w:p w:rsidR="00A04960" w:rsidRPr="00684AD1" w:rsidRDefault="00A04960" w:rsidP="00A0496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84AD1" w:rsidRDefault="00684AD1" w:rsidP="00E4226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sz w:val="22"/>
          <w:szCs w:val="22"/>
        </w:rPr>
      </w:pPr>
    </w:p>
    <w:p w:rsidR="00E42268" w:rsidRPr="00684AD1" w:rsidRDefault="00E42268" w:rsidP="00E4226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>CONCISAS</w:t>
      </w:r>
    </w:p>
    <w:p w:rsidR="00E42268" w:rsidRPr="00684AD1" w:rsidRDefault="00E42268" w:rsidP="00A0496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A04960" w:rsidRPr="00684AD1" w:rsidRDefault="00A04960" w:rsidP="00E42268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 xml:space="preserve">Las cancelaciones concisas sólo deben </w:t>
      </w:r>
      <w:r w:rsidR="00E42268" w:rsidRPr="00684AD1">
        <w:rPr>
          <w:rFonts w:ascii="Calibri" w:hAnsi="Calibri" w:cs="Calibri"/>
          <w:sz w:val="22"/>
          <w:szCs w:val="22"/>
        </w:rPr>
        <w:t>contener</w:t>
      </w:r>
      <w:r w:rsidR="00314510" w:rsidRPr="00684AD1">
        <w:rPr>
          <w:rFonts w:ascii="Calibri" w:hAnsi="Calibri" w:cs="Calibri"/>
          <w:sz w:val="22"/>
          <w:szCs w:val="22"/>
        </w:rPr>
        <w:t xml:space="preserve"> según el </w:t>
      </w:r>
      <w:r w:rsidRPr="00684AD1">
        <w:rPr>
          <w:rFonts w:ascii="Calibri" w:hAnsi="Calibri" w:cs="Calibri"/>
          <w:b/>
          <w:bCs/>
          <w:color w:val="984806"/>
          <w:sz w:val="22"/>
          <w:szCs w:val="22"/>
        </w:rPr>
        <w:t>art 194</w:t>
      </w:r>
      <w:r w:rsidR="00314510" w:rsidRPr="00684AD1">
        <w:rPr>
          <w:rFonts w:ascii="Calibri" w:hAnsi="Calibri" w:cs="Calibri"/>
          <w:b/>
          <w:bCs/>
          <w:color w:val="984806"/>
          <w:sz w:val="22"/>
          <w:szCs w:val="22"/>
        </w:rPr>
        <w:t xml:space="preserve"> del RH</w:t>
      </w:r>
      <w:r w:rsidRPr="00684AD1">
        <w:rPr>
          <w:rFonts w:ascii="Calibri" w:hAnsi="Calibri" w:cs="Calibri"/>
          <w:sz w:val="22"/>
          <w:szCs w:val="22"/>
        </w:rPr>
        <w:t xml:space="preserve">, </w:t>
      </w:r>
      <w:r w:rsidRPr="00684AD1">
        <w:rPr>
          <w:rFonts w:ascii="Calibri" w:hAnsi="Calibri" w:cs="Calibri"/>
          <w:i/>
          <w:iCs/>
          <w:sz w:val="22"/>
          <w:szCs w:val="22"/>
        </w:rPr>
        <w:t>además de</w:t>
      </w:r>
      <w:r w:rsidR="000C026D" w:rsidRPr="00684AD1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684AD1">
        <w:rPr>
          <w:rFonts w:ascii="Calibri" w:hAnsi="Calibri" w:cs="Calibri"/>
          <w:i/>
          <w:iCs/>
          <w:sz w:val="22"/>
          <w:szCs w:val="22"/>
        </w:rPr>
        <w:t>las circunstancias señaladas en los números 1, 2 y 5 del art 193</w:t>
      </w:r>
      <w:r w:rsidR="00E42268" w:rsidRPr="00684AD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314510" w:rsidRPr="00684AD1">
        <w:rPr>
          <w:rFonts w:ascii="Calibri" w:hAnsi="Calibri" w:cs="Calibri"/>
          <w:sz w:val="22"/>
          <w:szCs w:val="22"/>
        </w:rPr>
        <w:t>r</w:t>
      </w:r>
      <w:r w:rsidRPr="00684AD1">
        <w:rPr>
          <w:rFonts w:ascii="Calibri" w:hAnsi="Calibri" w:cs="Calibri"/>
          <w:sz w:val="22"/>
          <w:szCs w:val="22"/>
        </w:rPr>
        <w:t xml:space="preserve">eferencia a la cancelación extensa </w:t>
      </w:r>
      <w:r w:rsidR="00E42268" w:rsidRPr="00684AD1">
        <w:rPr>
          <w:rFonts w:ascii="Calibri" w:hAnsi="Calibri" w:cs="Calibri"/>
          <w:sz w:val="22"/>
          <w:szCs w:val="22"/>
        </w:rPr>
        <w:t>(l</w:t>
      </w:r>
      <w:r w:rsidRPr="00684AD1">
        <w:rPr>
          <w:rFonts w:ascii="Calibri" w:hAnsi="Calibri" w:cs="Calibri"/>
          <w:sz w:val="22"/>
          <w:szCs w:val="22"/>
        </w:rPr>
        <w:t>ibro y folio, fecha</w:t>
      </w:r>
      <w:r w:rsidR="00314510" w:rsidRPr="00684AD1">
        <w:rPr>
          <w:rFonts w:ascii="Calibri" w:hAnsi="Calibri" w:cs="Calibri"/>
          <w:sz w:val="22"/>
          <w:szCs w:val="22"/>
        </w:rPr>
        <w:t xml:space="preserve"> en que se ha practicado</w:t>
      </w:r>
      <w:r w:rsidRPr="00684AD1">
        <w:rPr>
          <w:rFonts w:ascii="Calibri" w:hAnsi="Calibri" w:cs="Calibri"/>
          <w:sz w:val="22"/>
          <w:szCs w:val="22"/>
        </w:rPr>
        <w:t xml:space="preserve"> y media firma</w:t>
      </w:r>
      <w:r w:rsidR="00314510" w:rsidRPr="00684AD1">
        <w:rPr>
          <w:rFonts w:ascii="Calibri" w:hAnsi="Calibri" w:cs="Calibri"/>
          <w:sz w:val="22"/>
          <w:szCs w:val="22"/>
        </w:rPr>
        <w:t xml:space="preserve"> del Rgdor</w:t>
      </w:r>
      <w:r w:rsidR="00E42268" w:rsidRPr="00684AD1">
        <w:rPr>
          <w:rFonts w:ascii="Calibri" w:hAnsi="Calibri" w:cs="Calibri"/>
          <w:sz w:val="22"/>
          <w:szCs w:val="22"/>
        </w:rPr>
        <w:t>)</w:t>
      </w:r>
    </w:p>
    <w:p w:rsidR="00A04960" w:rsidRPr="00D8690C" w:rsidRDefault="00A04960" w:rsidP="00A04960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:rsidR="00D601C0" w:rsidRDefault="00D601C0" w:rsidP="00D8690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:rsidR="0062165C" w:rsidRDefault="0062165C" w:rsidP="00881D94">
      <w:pPr>
        <w:widowControl w:val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62165C" w:rsidRPr="0062165C" w:rsidRDefault="0062165C" w:rsidP="0062165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</w:pPr>
      <w:r w:rsidRPr="0062165C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CANCELACION TOTAL y PARCIAL</w:t>
      </w:r>
    </w:p>
    <w:p w:rsidR="0062165C" w:rsidRDefault="0062165C" w:rsidP="00881D94">
      <w:pPr>
        <w:widowControl w:val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D601C0" w:rsidRPr="0016581D" w:rsidRDefault="00881D94" w:rsidP="00881D94">
      <w:pPr>
        <w:widowControl w:val="0"/>
        <w:jc w:val="both"/>
        <w:rPr>
          <w:rFonts w:ascii="Calibri" w:hAnsi="Calibri" w:cs="Calibri"/>
          <w:sz w:val="22"/>
          <w:szCs w:val="22"/>
          <w:lang w:val="es-ES"/>
        </w:rPr>
      </w:pPr>
      <w:r w:rsidRPr="00881D94">
        <w:rPr>
          <w:rFonts w:ascii="Calibri" w:hAnsi="Calibri" w:cs="Calibri"/>
          <w:b/>
          <w:bCs/>
          <w:sz w:val="22"/>
          <w:szCs w:val="22"/>
          <w:lang w:val="es-ES"/>
        </w:rPr>
        <w:lastRenderedPageBreak/>
        <w:t>78 LH</w:t>
      </w:r>
      <w:r w:rsidR="00684AD1">
        <w:rPr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 xml:space="preserve"> </w:t>
      </w:r>
      <w:r w:rsidR="00D601C0" w:rsidRPr="00881D94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La c</w:t>
      </w:r>
      <w:r w:rsidRPr="00881D94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</w:t>
      </w:r>
      <w:r w:rsidR="00D601C0" w:rsidRPr="00881D94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de las inscripciones y anotaciones preventivas podrá </w:t>
      </w:r>
      <w:r w:rsidR="00D601C0"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ser total </w:t>
      </w:r>
      <w:r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ó</w:t>
      </w:r>
      <w:r w:rsidR="00D601C0"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parcial</w:t>
      </w:r>
      <w:r w:rsidR="00D601C0" w:rsidRPr="0016581D">
        <w:rPr>
          <w:rFonts w:ascii="Calibri" w:hAnsi="Calibri" w:cs="Calibri"/>
          <w:b/>
          <w:bCs/>
          <w:sz w:val="22"/>
          <w:szCs w:val="22"/>
        </w:rPr>
        <w:t>.</w:t>
      </w:r>
    </w:p>
    <w:p w:rsidR="00684AD1" w:rsidRDefault="00684AD1" w:rsidP="00684AD1">
      <w:pPr>
        <w:widowControl w:val="0"/>
        <w:jc w:val="center"/>
        <w:rPr>
          <w:rFonts w:ascii="Calibri" w:hAnsi="Calibri" w:cs="Calibri"/>
          <w:sz w:val="22"/>
          <w:szCs w:val="22"/>
          <w:lang w:val="es-ES"/>
        </w:rPr>
      </w:pPr>
    </w:p>
    <w:p w:rsidR="00881D94" w:rsidRDefault="0016581D" w:rsidP="00684AD1">
      <w:pPr>
        <w:widowControl w:val="0"/>
        <w:jc w:val="center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TOTAL</w:t>
      </w:r>
    </w:p>
    <w:p w:rsidR="0016581D" w:rsidRDefault="0016581D" w:rsidP="00881D94">
      <w:pPr>
        <w:widowControl w:val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16581D" w:rsidRPr="0016581D" w:rsidRDefault="00881D94" w:rsidP="0016581D">
      <w:pPr>
        <w:widowControl w:val="0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2B48BA">
        <w:rPr>
          <w:rFonts w:ascii="Calibri" w:hAnsi="Calibri" w:cs="Arial"/>
          <w:b/>
          <w:sz w:val="22"/>
          <w:szCs w:val="22"/>
        </w:rPr>
        <w:t>79 LH</w:t>
      </w:r>
      <w:r w:rsidRPr="002B48BA">
        <w:rPr>
          <w:rFonts w:ascii="Calibri" w:hAnsi="Calibri" w:cs="Arial"/>
          <w:sz w:val="22"/>
          <w:szCs w:val="22"/>
        </w:rPr>
        <w:t xml:space="preserve"> </w:t>
      </w:r>
      <w:r w:rsidR="0016581D"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Podrá pedirse y deberá ordenarse, en su caso, la cancelación total de las inscripciones o anotaciones preventivas:</w:t>
      </w:r>
    </w:p>
    <w:p w:rsidR="0016581D" w:rsidRPr="0016581D" w:rsidRDefault="0016581D" w:rsidP="0016581D">
      <w:pPr>
        <w:widowControl w:val="0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Cuando se extinga por completo el inmueble objeto de las mismas.</w:t>
      </w: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Cuando se extinga también por completo el derecho inscrito o anotado.</w:t>
      </w: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Cuando se declare la nulidad del título en cuya virtud se hayan hecho.</w:t>
      </w: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16581D" w:rsidRDefault="0016581D" w:rsidP="0016581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33"/>
        <w:jc w:val="both"/>
        <w:rPr>
          <w:rFonts w:ascii="Calibri" w:hAnsi="Calibri" w:cs="Calibri"/>
          <w:sz w:val="22"/>
          <w:szCs w:val="22"/>
        </w:rPr>
      </w:pPr>
      <w:r w:rsidRPr="0016581D">
        <w:rPr>
          <w:rFonts w:ascii="Calibri" w:hAnsi="Calibri" w:cs="Calibri"/>
          <w:sz w:val="22"/>
          <w:szCs w:val="22"/>
        </w:rPr>
        <w:t xml:space="preserve">Según la doctrina, este apartado </w:t>
      </w:r>
      <w:r w:rsidR="00684AD1">
        <w:rPr>
          <w:rFonts w:ascii="Calibri" w:hAnsi="Calibri" w:cs="Calibri"/>
          <w:sz w:val="22"/>
          <w:szCs w:val="22"/>
        </w:rPr>
        <w:t>incluye</w:t>
      </w:r>
      <w:r w:rsidRPr="0016581D">
        <w:rPr>
          <w:rFonts w:ascii="Calibri" w:hAnsi="Calibri" w:cs="Calibri"/>
          <w:sz w:val="22"/>
          <w:szCs w:val="22"/>
        </w:rPr>
        <w:t xml:space="preserve"> los supuestos de inexistencia</w:t>
      </w:r>
      <w:r w:rsidR="00684AD1">
        <w:rPr>
          <w:rFonts w:ascii="Calibri" w:hAnsi="Calibri" w:cs="Calibri"/>
          <w:sz w:val="22"/>
          <w:szCs w:val="22"/>
        </w:rPr>
        <w:t>/</w:t>
      </w:r>
      <w:r w:rsidRPr="0016581D">
        <w:rPr>
          <w:rFonts w:ascii="Calibri" w:hAnsi="Calibri" w:cs="Calibri"/>
          <w:sz w:val="22"/>
          <w:szCs w:val="22"/>
        </w:rPr>
        <w:t>nulidad</w:t>
      </w:r>
      <w:r w:rsidR="00684AD1">
        <w:rPr>
          <w:rFonts w:ascii="Calibri" w:hAnsi="Calibri" w:cs="Calibri"/>
          <w:sz w:val="22"/>
          <w:szCs w:val="22"/>
        </w:rPr>
        <w:t>/</w:t>
      </w:r>
      <w:r w:rsidRPr="0016581D">
        <w:rPr>
          <w:rFonts w:ascii="Calibri" w:hAnsi="Calibri" w:cs="Calibri"/>
          <w:sz w:val="22"/>
          <w:szCs w:val="22"/>
        </w:rPr>
        <w:t xml:space="preserve">anulabilidad e incluso </w:t>
      </w:r>
      <w:r w:rsidR="00684AD1">
        <w:rPr>
          <w:rFonts w:ascii="Calibri" w:hAnsi="Calibri" w:cs="Calibri"/>
          <w:sz w:val="22"/>
          <w:szCs w:val="22"/>
        </w:rPr>
        <w:t>r</w:t>
      </w:r>
      <w:r w:rsidRPr="0016581D">
        <w:rPr>
          <w:rFonts w:ascii="Calibri" w:hAnsi="Calibri" w:cs="Calibri"/>
          <w:sz w:val="22"/>
          <w:szCs w:val="22"/>
        </w:rPr>
        <w:t>escisión</w:t>
      </w:r>
      <w:r w:rsidR="00684AD1">
        <w:rPr>
          <w:rFonts w:ascii="Calibri" w:hAnsi="Calibri" w:cs="Calibri"/>
          <w:sz w:val="22"/>
          <w:szCs w:val="22"/>
        </w:rPr>
        <w:t>/</w:t>
      </w:r>
      <w:r w:rsidRPr="0016581D">
        <w:rPr>
          <w:rFonts w:ascii="Calibri" w:hAnsi="Calibri" w:cs="Calibri"/>
          <w:sz w:val="22"/>
          <w:szCs w:val="22"/>
        </w:rPr>
        <w:t>resolución.</w:t>
      </w:r>
    </w:p>
    <w:p w:rsidR="00684AD1" w:rsidRDefault="00684AD1" w:rsidP="0016581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33"/>
        <w:jc w:val="both"/>
        <w:rPr>
          <w:rFonts w:ascii="Calibri" w:hAnsi="Calibri" w:cs="Calibri"/>
          <w:sz w:val="22"/>
          <w:szCs w:val="22"/>
        </w:rPr>
      </w:pPr>
    </w:p>
    <w:p w:rsidR="00684AD1" w:rsidRPr="00684AD1" w:rsidRDefault="00684AD1" w:rsidP="00684AD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33"/>
        <w:jc w:val="both"/>
        <w:rPr>
          <w:rFonts w:ascii="Calibri" w:hAnsi="Calibri" w:cs="Calibri"/>
          <w:sz w:val="22"/>
          <w:szCs w:val="22"/>
        </w:rPr>
      </w:pPr>
      <w:r w:rsidRPr="00684AD1">
        <w:rPr>
          <w:rFonts w:ascii="Calibri" w:hAnsi="Calibri" w:cs="Calibri"/>
          <w:sz w:val="22"/>
          <w:szCs w:val="22"/>
        </w:rPr>
        <w:t xml:space="preserve">Ex 53 RH  Declarada la nulidad de un asiento, el Juez ó Tribunal mandará cancelarlo y, en su caso, extender otro nuevo en la forma que proceda según la Ley. </w:t>
      </w: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</w:p>
    <w:p w:rsidR="0016581D" w:rsidRPr="0016581D" w:rsidRDefault="0016581D" w:rsidP="0016581D">
      <w:pPr>
        <w:widowControl w:val="0"/>
        <w:ind w:left="709"/>
        <w:jc w:val="both"/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</w:pPr>
      <w:r w:rsidRPr="0016581D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Cuando se declare su nulidad por falta de alguno de sus requisitos esenciales, conforme a lo dispuesto en esta Ley.</w:t>
      </w:r>
    </w:p>
    <w:p w:rsidR="0016581D" w:rsidRDefault="0016581D" w:rsidP="0016581D">
      <w:pPr>
        <w:jc w:val="both"/>
        <w:rPr>
          <w:rFonts w:ascii="Calibri" w:hAnsi="Calibri" w:cs="Arial"/>
          <w:sz w:val="22"/>
          <w:szCs w:val="22"/>
        </w:rPr>
      </w:pPr>
    </w:p>
    <w:p w:rsidR="00684AD1" w:rsidRDefault="00881D94" w:rsidP="00684AD1">
      <w:pPr>
        <w:overflowPunct/>
        <w:autoSpaceDE/>
        <w:autoSpaceDN/>
        <w:adjustRightInd/>
        <w:ind w:left="1418"/>
        <w:jc w:val="both"/>
        <w:textAlignment w:val="auto"/>
        <w:rPr>
          <w:rFonts w:ascii="Calibri" w:hAnsi="Calibri" w:cs="Arial"/>
          <w:sz w:val="22"/>
          <w:szCs w:val="22"/>
        </w:rPr>
      </w:pPr>
      <w:r w:rsidRPr="002B48BA">
        <w:rPr>
          <w:rFonts w:ascii="Calibri" w:hAnsi="Calibri" w:cs="Arial"/>
          <w:b/>
          <w:sz w:val="22"/>
          <w:szCs w:val="22"/>
        </w:rPr>
        <w:t>30 LH</w:t>
      </w:r>
      <w:r w:rsidR="00684AD1">
        <w:rPr>
          <w:rFonts w:ascii="Calibri" w:hAnsi="Calibri" w:cs="Arial"/>
          <w:b/>
          <w:sz w:val="22"/>
          <w:szCs w:val="22"/>
        </w:rPr>
        <w:t xml:space="preserve"> </w:t>
      </w:r>
      <w:r w:rsidRPr="002B48BA">
        <w:rPr>
          <w:rFonts w:ascii="Calibri" w:hAnsi="Calibri" w:cs="Arial"/>
          <w:sz w:val="22"/>
          <w:szCs w:val="22"/>
        </w:rPr>
        <w:t xml:space="preserve"> </w:t>
      </w:r>
      <w:r w:rsidRPr="002B48BA">
        <w:rPr>
          <w:rFonts w:ascii="Calibri" w:hAnsi="Calibri" w:cs="Arial"/>
          <w:b/>
          <w:i/>
          <w:color w:val="7F7F7F"/>
          <w:sz w:val="22"/>
          <w:szCs w:val="22"/>
        </w:rPr>
        <w:t xml:space="preserve">Las </w:t>
      </w:r>
      <w:r>
        <w:rPr>
          <w:rFonts w:ascii="Calibri" w:hAnsi="Calibri" w:cs="Arial"/>
          <w:b/>
          <w:i/>
          <w:color w:val="7F7F7F"/>
          <w:sz w:val="22"/>
          <w:szCs w:val="22"/>
        </w:rPr>
        <w:t xml:space="preserve">INSCRIPCIONES </w:t>
      </w:r>
      <w:r w:rsidRPr="002B48BA">
        <w:rPr>
          <w:rFonts w:ascii="Calibri" w:hAnsi="Calibri" w:cs="Arial"/>
          <w:b/>
          <w:i/>
          <w:color w:val="7F7F7F"/>
          <w:sz w:val="22"/>
          <w:szCs w:val="22"/>
        </w:rPr>
        <w:t xml:space="preserve">de los títulos expresados en los arts 2 y 4 serán </w:t>
      </w:r>
      <w:r>
        <w:rPr>
          <w:rFonts w:ascii="Calibri" w:hAnsi="Calibri" w:cs="Arial"/>
          <w:b/>
          <w:i/>
          <w:color w:val="7F7F7F"/>
          <w:sz w:val="22"/>
          <w:szCs w:val="22"/>
        </w:rPr>
        <w:t>NULAS</w:t>
      </w:r>
      <w:r w:rsidRPr="002B48BA">
        <w:rPr>
          <w:rFonts w:ascii="Calibri" w:hAnsi="Calibri" w:cs="Arial"/>
          <w:b/>
          <w:i/>
          <w:color w:val="7F7F7F"/>
          <w:sz w:val="22"/>
          <w:szCs w:val="22"/>
        </w:rPr>
        <w:t xml:space="preserve"> si en ellas se omite </w:t>
      </w:r>
      <w:r>
        <w:rPr>
          <w:rFonts w:ascii="Calibri" w:hAnsi="Calibri" w:cs="Arial"/>
          <w:b/>
          <w:i/>
          <w:color w:val="7F7F7F"/>
          <w:sz w:val="22"/>
          <w:szCs w:val="22"/>
        </w:rPr>
        <w:t>ó</w:t>
      </w:r>
      <w:r w:rsidRPr="002B48BA">
        <w:rPr>
          <w:rFonts w:ascii="Calibri" w:hAnsi="Calibri" w:cs="Arial"/>
          <w:b/>
          <w:i/>
          <w:color w:val="7F7F7F"/>
          <w:sz w:val="22"/>
          <w:szCs w:val="22"/>
        </w:rPr>
        <w:t xml:space="preserve"> se expresa, con inexactitud sustancial, alguna de las circunstancias comprendidas en el art 9, sin perjuicio de lo establecido en esta Ley sobre rectificación de errores</w:t>
      </w:r>
      <w:r w:rsidRPr="002B48BA">
        <w:rPr>
          <w:rFonts w:ascii="Calibri" w:hAnsi="Calibri" w:cs="Arial"/>
          <w:sz w:val="22"/>
          <w:szCs w:val="22"/>
        </w:rPr>
        <w:t xml:space="preserve">. </w:t>
      </w:r>
    </w:p>
    <w:p w:rsidR="00684AD1" w:rsidRDefault="00684AD1" w:rsidP="00684AD1">
      <w:pPr>
        <w:overflowPunct/>
        <w:autoSpaceDE/>
        <w:autoSpaceDN/>
        <w:adjustRightInd/>
        <w:ind w:left="1418"/>
        <w:jc w:val="both"/>
        <w:textAlignment w:val="auto"/>
        <w:rPr>
          <w:rFonts w:ascii="Calibri" w:hAnsi="Calibri" w:cs="Arial"/>
          <w:sz w:val="22"/>
          <w:szCs w:val="22"/>
        </w:rPr>
      </w:pPr>
    </w:p>
    <w:p w:rsidR="00D82E38" w:rsidRPr="00684AD1" w:rsidRDefault="00684AD1" w:rsidP="00684AD1">
      <w:pPr>
        <w:overflowPunct/>
        <w:autoSpaceDE/>
        <w:autoSpaceDN/>
        <w:adjustRightInd/>
        <w:ind w:left="2127"/>
        <w:jc w:val="both"/>
        <w:textAlignment w:val="auto"/>
        <w:rPr>
          <w:rFonts w:ascii="Calibri" w:hAnsi="Calibri" w:cs="Arial"/>
          <w:b/>
          <w:i/>
          <w:color w:val="7F7F7F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 bien ex</w:t>
      </w:r>
      <w:r w:rsidR="00D82E38" w:rsidRPr="002B48BA">
        <w:rPr>
          <w:rFonts w:ascii="Calibri" w:hAnsi="Calibri" w:cs="Arial"/>
          <w:b/>
          <w:sz w:val="22"/>
          <w:szCs w:val="22"/>
        </w:rPr>
        <w:t xml:space="preserve"> 31 LH</w:t>
      </w:r>
      <w:r w:rsidR="00D82E38" w:rsidRPr="002B48B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D82E38" w:rsidRPr="00684AD1">
        <w:rPr>
          <w:rFonts w:ascii="Calibri" w:hAnsi="Calibri" w:cs="Arial"/>
          <w:b/>
          <w:i/>
          <w:color w:val="7F7F7F"/>
          <w:sz w:val="22"/>
          <w:szCs w:val="22"/>
        </w:rPr>
        <w:t>La nulidad de las inscripciones de que trata el art anterior, no perjudicará el dº anteriormente adquirido por un 3º protegido con arreglo al art 34.</w:t>
      </w:r>
    </w:p>
    <w:p w:rsidR="00D82E38" w:rsidRPr="00881D94" w:rsidRDefault="00D82E38" w:rsidP="00684AD1">
      <w:pPr>
        <w:overflowPunct/>
        <w:autoSpaceDE/>
        <w:autoSpaceDN/>
        <w:adjustRightInd/>
        <w:ind w:left="2138"/>
        <w:jc w:val="both"/>
        <w:textAlignment w:val="auto"/>
        <w:rPr>
          <w:rFonts w:ascii="Calibri" w:hAnsi="Calibri" w:cs="Arial"/>
          <w:b/>
          <w:i/>
          <w:color w:val="7F7F7F"/>
          <w:sz w:val="22"/>
          <w:szCs w:val="22"/>
        </w:rPr>
      </w:pPr>
    </w:p>
    <w:p w:rsidR="00881D94" w:rsidRPr="00D82E38" w:rsidRDefault="00881D94" w:rsidP="00684AD1">
      <w:pPr>
        <w:overflowPunct/>
        <w:autoSpaceDE/>
        <w:autoSpaceDN/>
        <w:adjustRightInd/>
        <w:ind w:left="1418"/>
        <w:jc w:val="both"/>
        <w:textAlignment w:val="auto"/>
        <w:rPr>
          <w:rFonts w:ascii="Calibri" w:hAnsi="Calibri" w:cs="Arial"/>
          <w:b/>
          <w:bCs/>
          <w:i/>
          <w:iCs/>
          <w:color w:val="7F7F7F"/>
          <w:sz w:val="22"/>
          <w:szCs w:val="22"/>
        </w:rPr>
      </w:pPr>
      <w:r w:rsidRPr="00D82E38">
        <w:rPr>
          <w:rFonts w:ascii="Calibri" w:hAnsi="Calibri" w:cs="Calibri"/>
          <w:b/>
          <w:bCs/>
          <w:sz w:val="22"/>
          <w:szCs w:val="22"/>
          <w:lang w:val="es-ES"/>
        </w:rPr>
        <w:t>75 LH</w:t>
      </w:r>
      <w:r w:rsidR="00D82E38" w:rsidRPr="00D82E38">
        <w:rPr>
          <w:rFonts w:ascii="Calibri" w:hAnsi="Calibri" w:cs="Calibri"/>
          <w:b/>
          <w:bCs/>
          <w:i/>
          <w:iCs/>
          <w:color w:val="7F7F7F"/>
          <w:sz w:val="22"/>
          <w:szCs w:val="22"/>
          <w:lang w:val="es-ES"/>
        </w:rPr>
        <w:t xml:space="preserve"> </w:t>
      </w:r>
      <w:r w:rsidR="00684AD1">
        <w:rPr>
          <w:rFonts w:ascii="Calibri" w:hAnsi="Calibri" w:cs="Calibri"/>
          <w:b/>
          <w:bCs/>
          <w:i/>
          <w:iCs/>
          <w:color w:val="7F7F7F"/>
          <w:sz w:val="22"/>
          <w:szCs w:val="22"/>
          <w:lang w:val="es-ES"/>
        </w:rPr>
        <w:t xml:space="preserve"> L</w:t>
      </w:r>
      <w:r w:rsidR="00D82E38" w:rsidRPr="00D82E38">
        <w:rPr>
          <w:rFonts w:ascii="Calibri" w:hAnsi="Calibri" w:cs="Calibri"/>
          <w:b/>
          <w:bCs/>
          <w:i/>
          <w:iCs/>
          <w:color w:val="7F7F7F"/>
          <w:sz w:val="22"/>
          <w:szCs w:val="22"/>
          <w:lang w:val="es-ES"/>
        </w:rPr>
        <w:t>a A</w:t>
      </w:r>
      <w:r w:rsidR="00684AD1">
        <w:rPr>
          <w:rFonts w:ascii="Calibri" w:hAnsi="Calibri" w:cs="Calibri"/>
          <w:b/>
          <w:bCs/>
          <w:i/>
          <w:iCs/>
          <w:color w:val="7F7F7F"/>
          <w:sz w:val="22"/>
          <w:szCs w:val="22"/>
          <w:lang w:val="es-ES"/>
        </w:rPr>
        <w:t>NOTACIÓN PREVENTIVA</w:t>
      </w:r>
      <w:r w:rsidRPr="00D82E38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será nula cuando por ella no pueda venirse en conocimiento de la finca </w:t>
      </w:r>
      <w:r w:rsidR="00D82E38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o</w:t>
      </w:r>
      <w:r w:rsidRPr="00D82E38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derecho anotado, de la persona a quien afecte la anotación </w:t>
      </w:r>
      <w:r w:rsidR="00D82E38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ó</w:t>
      </w:r>
      <w:r w:rsidRPr="00D82E38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de la fecha de ésta.</w:t>
      </w:r>
    </w:p>
    <w:p w:rsidR="00881D94" w:rsidRPr="002B48BA" w:rsidRDefault="00881D94" w:rsidP="00881D94">
      <w:pPr>
        <w:jc w:val="both"/>
        <w:rPr>
          <w:rFonts w:ascii="Calibri" w:hAnsi="Calibri" w:cs="Arial"/>
          <w:i/>
          <w:sz w:val="22"/>
          <w:szCs w:val="22"/>
        </w:rPr>
      </w:pPr>
    </w:p>
    <w:p w:rsidR="00881D94" w:rsidRDefault="00881D94" w:rsidP="00881D94">
      <w:pPr>
        <w:widowControl w:val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684AD1" w:rsidRDefault="00684AD1" w:rsidP="00684AD1">
      <w:pPr>
        <w:widowControl w:val="0"/>
        <w:jc w:val="center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PARCIAL</w:t>
      </w:r>
    </w:p>
    <w:p w:rsidR="00684AD1" w:rsidRDefault="00684AD1" w:rsidP="00881D94">
      <w:pPr>
        <w:widowControl w:val="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AC1A83" w:rsidRPr="002B48BA" w:rsidRDefault="00AC1A83" w:rsidP="00AC1A83">
      <w:pPr>
        <w:rPr>
          <w:rFonts w:ascii="Calibri" w:hAnsi="Calibri" w:cs="Arial"/>
          <w:sz w:val="22"/>
          <w:szCs w:val="22"/>
        </w:rPr>
      </w:pPr>
      <w:r w:rsidRPr="002B48BA">
        <w:rPr>
          <w:rFonts w:ascii="Calibri" w:hAnsi="Calibri" w:cs="Arial"/>
          <w:b/>
          <w:sz w:val="22"/>
          <w:szCs w:val="22"/>
        </w:rPr>
        <w:t>80 LH</w:t>
      </w:r>
      <w:r w:rsidRPr="002B48BA">
        <w:rPr>
          <w:rFonts w:ascii="Calibri" w:hAnsi="Calibri" w:cs="Arial"/>
          <w:sz w:val="22"/>
          <w:szCs w:val="22"/>
        </w:rPr>
        <w:t xml:space="preserve"> </w:t>
      </w:r>
      <w:r w:rsidR="004A7C89">
        <w:rPr>
          <w:rFonts w:ascii="Calibri" w:hAnsi="Calibri" w:cs="Arial"/>
          <w:sz w:val="22"/>
          <w:szCs w:val="22"/>
        </w:rPr>
        <w:t xml:space="preserve"> P</w:t>
      </w:r>
      <w:r w:rsidRPr="002B48BA">
        <w:rPr>
          <w:rFonts w:ascii="Calibri" w:hAnsi="Calibri" w:cs="Arial"/>
          <w:sz w:val="22"/>
          <w:szCs w:val="22"/>
        </w:rPr>
        <w:t>odrá pedirse y deberá decretarse, en su caso, la cancelación parcial:</w:t>
      </w:r>
    </w:p>
    <w:p w:rsidR="00AC1A83" w:rsidRPr="002B48BA" w:rsidRDefault="00AC1A83" w:rsidP="00AC1A83">
      <w:pPr>
        <w:rPr>
          <w:rFonts w:ascii="Calibri" w:hAnsi="Calibri" w:cs="Arial"/>
          <w:i/>
          <w:sz w:val="22"/>
          <w:szCs w:val="22"/>
        </w:rPr>
      </w:pPr>
    </w:p>
    <w:p w:rsidR="00AC1A83" w:rsidRPr="004A7C89" w:rsidRDefault="00AC1A83" w:rsidP="004A7C89">
      <w:pPr>
        <w:ind w:left="1418"/>
        <w:rPr>
          <w:rFonts w:ascii="Calibri" w:hAnsi="Calibri" w:cs="Arial"/>
          <w:sz w:val="22"/>
          <w:szCs w:val="22"/>
        </w:rPr>
      </w:pPr>
      <w:r w:rsidRPr="004A7C89">
        <w:rPr>
          <w:rFonts w:ascii="Calibri" w:hAnsi="Calibri" w:cs="Arial"/>
          <w:sz w:val="22"/>
          <w:szCs w:val="22"/>
        </w:rPr>
        <w:t xml:space="preserve"> Cuando se reduzca el INMUEBLE objeto de la inscripción ó ap</w:t>
      </w:r>
    </w:p>
    <w:p w:rsidR="00AC1A83" w:rsidRPr="002B48BA" w:rsidRDefault="00AC1A83" w:rsidP="004A7C89">
      <w:pPr>
        <w:ind w:left="1418"/>
        <w:rPr>
          <w:rFonts w:ascii="Calibri" w:hAnsi="Calibri" w:cs="Arial"/>
          <w:sz w:val="22"/>
          <w:szCs w:val="22"/>
        </w:rPr>
      </w:pPr>
      <w:r w:rsidRPr="004A7C89">
        <w:rPr>
          <w:rFonts w:ascii="Calibri" w:hAnsi="Calibri" w:cs="Arial"/>
          <w:sz w:val="22"/>
          <w:szCs w:val="22"/>
        </w:rPr>
        <w:t xml:space="preserve"> Cuando se reduzca el Dº INSCRITO ó ANOTADO</w:t>
      </w:r>
    </w:p>
    <w:p w:rsidR="00881D94" w:rsidRPr="00AC1A83" w:rsidRDefault="00881D94" w:rsidP="00881D94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4A7C89" w:rsidRDefault="004A7C89" w:rsidP="004A7C89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 </w:t>
      </w:r>
      <w:r w:rsidR="0060160B">
        <w:rPr>
          <w:rFonts w:ascii="Calibri" w:hAnsi="Calibri" w:cs="Calibri"/>
          <w:sz w:val="22"/>
          <w:szCs w:val="22"/>
        </w:rPr>
        <w:t xml:space="preserve">EXCEPCION en el </w:t>
      </w:r>
      <w:r w:rsidR="0060160B" w:rsidRPr="00152A0B">
        <w:rPr>
          <w:rFonts w:ascii="Calibri" w:hAnsi="Calibri" w:cs="Calibri"/>
          <w:b/>
          <w:sz w:val="22"/>
          <w:szCs w:val="22"/>
        </w:rPr>
        <w:t>art 122 LH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Pr="004A7C89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La hipoteca subsistirá íntegra, mientras no se cancele, sobre la totalidad de los bienes hipotecados, aunque se reduzca la obligación garantizada</w:t>
      </w:r>
      <w:r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(vg  PAGO PARCIAL)</w:t>
      </w:r>
      <w:r w:rsidRPr="002B48BA">
        <w:rPr>
          <w:rFonts w:ascii="Calibri" w:hAnsi="Calibri" w:cs="Arial"/>
          <w:b/>
          <w:sz w:val="22"/>
          <w:szCs w:val="22"/>
        </w:rPr>
        <w:t xml:space="preserve"> </w:t>
      </w:r>
      <w:r w:rsidRPr="004A7C89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, y sobre cualquiera parte de los mismos bienes que se conserve, aunque la restante haya desaparecido</w:t>
      </w:r>
      <w:r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(vg  EF)</w:t>
      </w:r>
      <w:r w:rsidRPr="002B48BA">
        <w:rPr>
          <w:rFonts w:ascii="Calibri" w:hAnsi="Calibri" w:cs="Arial"/>
          <w:b/>
          <w:sz w:val="22"/>
          <w:szCs w:val="22"/>
        </w:rPr>
        <w:t xml:space="preserve"> </w:t>
      </w:r>
      <w:r w:rsidRPr="004A7C89">
        <w:rPr>
          <w:rFonts w:ascii="Calibri" w:hAnsi="Calibri" w:cs="Calibri"/>
          <w:b/>
          <w:bCs/>
          <w:i/>
          <w:iCs/>
          <w:color w:val="7F7F7F"/>
          <w:sz w:val="22"/>
          <w:szCs w:val="22"/>
        </w:rPr>
        <w:t>...</w:t>
      </w:r>
    </w:p>
    <w:p w:rsidR="004A7C89" w:rsidRDefault="004A7C89" w:rsidP="004A7C89">
      <w:pPr>
        <w:jc w:val="both"/>
        <w:rPr>
          <w:rFonts w:ascii="Calibri" w:hAnsi="Calibri" w:cs="Calibri"/>
          <w:sz w:val="22"/>
          <w:szCs w:val="22"/>
        </w:rPr>
      </w:pPr>
    </w:p>
    <w:p w:rsidR="0060160B" w:rsidRPr="0060160B" w:rsidRDefault="0060160B" w:rsidP="0060160B">
      <w:pPr>
        <w:jc w:val="both"/>
        <w:rPr>
          <w:rFonts w:ascii="Calibri" w:hAnsi="Calibri" w:cs="Calibri"/>
        </w:rPr>
      </w:pPr>
    </w:p>
    <w:p w:rsidR="0062165C" w:rsidRPr="0062165C" w:rsidRDefault="0062165C" w:rsidP="0062165C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</w:pPr>
      <w:r w:rsidRPr="0062165C">
        <w:rPr>
          <w:rFonts w:ascii="Calibri" w:hAnsi="Calibri" w:cs="Calibri"/>
          <w:b/>
          <w:bCs/>
          <w:sz w:val="22"/>
          <w:szCs w:val="22"/>
          <w:bdr w:val="single" w:sz="4" w:space="0" w:color="auto"/>
        </w:rPr>
        <w:t>CANCELACIONES PRACTICADAS CON, CONTRA ó SIN EL CONSENTIMIENTO DEL TITULAR REGISTRAL</w:t>
      </w:r>
    </w:p>
    <w:p w:rsidR="0062165C" w:rsidRDefault="0062165C" w:rsidP="0060160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Calibri" w:hAnsi="Calibri" w:cs="Calibri"/>
          <w:sz w:val="22"/>
          <w:szCs w:val="22"/>
        </w:rPr>
      </w:pPr>
    </w:p>
    <w:p w:rsidR="004A7C89" w:rsidRDefault="004A7C89" w:rsidP="0060160B">
      <w:pPr>
        <w:jc w:val="both"/>
        <w:rPr>
          <w:rFonts w:ascii="Calibri" w:hAnsi="Calibri" w:cs="Arial"/>
          <w:sz w:val="22"/>
          <w:szCs w:val="22"/>
        </w:rPr>
      </w:pPr>
    </w:p>
    <w:p w:rsidR="004A7C89" w:rsidRDefault="004A7C89" w:rsidP="0060160B">
      <w:pPr>
        <w:jc w:val="both"/>
        <w:rPr>
          <w:rFonts w:ascii="Calibri" w:hAnsi="Calibri" w:cs="Arial"/>
          <w:sz w:val="22"/>
          <w:szCs w:val="22"/>
        </w:rPr>
      </w:pP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87496C">
        <w:rPr>
          <w:rFonts w:ascii="Calibri" w:hAnsi="Calibri" w:cs="Arial"/>
          <w:b/>
          <w:sz w:val="22"/>
          <w:szCs w:val="22"/>
          <w:lang w:val="es-ES"/>
        </w:rPr>
        <w:lastRenderedPageBreak/>
        <w:t>82 LH</w:t>
      </w:r>
      <w:r>
        <w:rPr>
          <w:rFonts w:ascii="Calibri" w:hAnsi="Calibri" w:cs="Arial"/>
          <w:sz w:val="22"/>
          <w:szCs w:val="22"/>
          <w:lang w:val="es-ES"/>
        </w:rPr>
        <w:t xml:space="preserve"> </w:t>
      </w: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Las inscripciones o anotaciones preventivas HECHAS EN VIRTUD DE ESCRITURA PÚBLICA, no se cancelarán sino por sentencia contra la cual no se halle pendiente recurso de casación, o por otra escritura o documento auténtico, en el cual preste su consentimiento para la cancelación la persona a cuyo favor se hubiere hecho la inscripción o anotación, o sus causahabientes o representantes legítimos.</w:t>
      </w: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BB203B" w:rsidRDefault="0087496C" w:rsidP="002712EB">
      <w:pPr>
        <w:ind w:left="1418"/>
        <w:jc w:val="both"/>
        <w:rPr>
          <w:rFonts w:ascii="Calibri" w:hAnsi="Calibri" w:cs="Arial"/>
          <w:sz w:val="22"/>
          <w:szCs w:val="22"/>
        </w:rPr>
      </w:pPr>
      <w:r w:rsidRPr="00BB203B">
        <w:rPr>
          <w:rFonts w:ascii="Calibri" w:hAnsi="Calibri" w:cs="Arial"/>
          <w:sz w:val="22"/>
          <w:szCs w:val="22"/>
        </w:rPr>
        <w:t>Sobre CONSENTIMIENTO CANCELATORIO “FORMAL”, REMISIÓN</w:t>
      </w:r>
      <w:r w:rsidR="00BB203B" w:rsidRPr="00BB203B">
        <w:rPr>
          <w:rFonts w:ascii="Calibri" w:hAnsi="Calibri" w:cs="Arial"/>
          <w:sz w:val="22"/>
          <w:szCs w:val="22"/>
        </w:rPr>
        <w:t xml:space="preserve">. </w:t>
      </w:r>
      <w:r w:rsidR="00BB203B">
        <w:rPr>
          <w:rFonts w:ascii="Calibri" w:hAnsi="Calibri" w:cs="Arial"/>
          <w:sz w:val="22"/>
          <w:szCs w:val="22"/>
        </w:rPr>
        <w:t>S</w:t>
      </w:r>
      <w:r w:rsidR="00BB203B" w:rsidRPr="00BB203B">
        <w:rPr>
          <w:rFonts w:ascii="Calibri" w:hAnsi="Calibri" w:cs="Arial"/>
          <w:sz w:val="22"/>
          <w:szCs w:val="22"/>
        </w:rPr>
        <w:t xml:space="preserve">e exige </w:t>
      </w:r>
      <w:r w:rsidR="00BB203B">
        <w:rPr>
          <w:rFonts w:ascii="Calibri" w:hAnsi="Calibri" w:cs="Arial"/>
          <w:sz w:val="22"/>
          <w:szCs w:val="22"/>
        </w:rPr>
        <w:t xml:space="preserve">EN GENERAL </w:t>
      </w:r>
      <w:r w:rsidRPr="00BB203B">
        <w:rPr>
          <w:rFonts w:ascii="Calibri" w:hAnsi="Calibri" w:cs="Arial"/>
          <w:sz w:val="22"/>
          <w:szCs w:val="22"/>
        </w:rPr>
        <w:t>capacidad para disponer de inmuebles</w:t>
      </w:r>
      <w:r w:rsidR="00BB203B" w:rsidRPr="00BB203B">
        <w:rPr>
          <w:rFonts w:ascii="Calibri" w:hAnsi="Calibri" w:cs="Arial"/>
          <w:sz w:val="22"/>
          <w:szCs w:val="22"/>
        </w:rPr>
        <w:t xml:space="preserve">, debiendo prestar el </w:t>
      </w:r>
      <w:r w:rsidRPr="00BB203B">
        <w:rPr>
          <w:rFonts w:ascii="Calibri" w:hAnsi="Calibri" w:cs="Arial"/>
          <w:sz w:val="22"/>
          <w:szCs w:val="22"/>
        </w:rPr>
        <w:t xml:space="preserve">consentimiento el titular registral </w:t>
      </w:r>
      <w:r w:rsidR="00BB203B" w:rsidRPr="00BB203B">
        <w:rPr>
          <w:rFonts w:ascii="Calibri" w:hAnsi="Calibri" w:cs="Arial"/>
          <w:sz w:val="22"/>
          <w:szCs w:val="22"/>
        </w:rPr>
        <w:t xml:space="preserve">(siendo </w:t>
      </w:r>
      <w:r w:rsidRPr="00BB203B">
        <w:rPr>
          <w:rFonts w:ascii="Calibri" w:hAnsi="Calibri" w:cs="Arial"/>
          <w:sz w:val="22"/>
          <w:szCs w:val="22"/>
        </w:rPr>
        <w:t>varios, todos ellos</w:t>
      </w:r>
      <w:r w:rsidR="00BB203B" w:rsidRPr="00BB203B">
        <w:rPr>
          <w:rFonts w:ascii="Calibri" w:hAnsi="Calibri" w:cs="Arial"/>
          <w:sz w:val="22"/>
          <w:szCs w:val="22"/>
        </w:rPr>
        <w:t>) y titulares de cargas (s</w:t>
      </w:r>
      <w:r w:rsidRPr="00BB203B">
        <w:rPr>
          <w:rFonts w:ascii="Calibri" w:hAnsi="Calibri" w:cs="Arial"/>
          <w:sz w:val="22"/>
          <w:szCs w:val="22"/>
        </w:rPr>
        <w:t>i el derecho está gravado con cargas inscritas</w:t>
      </w:r>
      <w:r w:rsidR="00BB203B" w:rsidRPr="00BB203B">
        <w:rPr>
          <w:rFonts w:ascii="Calibri" w:hAnsi="Calibri" w:cs="Arial"/>
          <w:sz w:val="22"/>
          <w:szCs w:val="22"/>
        </w:rPr>
        <w:t>)</w:t>
      </w:r>
      <w:r w:rsidRPr="00BB203B">
        <w:rPr>
          <w:rFonts w:ascii="Calibri" w:hAnsi="Calibri" w:cs="Arial"/>
          <w:sz w:val="22"/>
          <w:szCs w:val="22"/>
        </w:rPr>
        <w:t xml:space="preserve"> </w:t>
      </w:r>
    </w:p>
    <w:p w:rsidR="0087496C" w:rsidRPr="00BB203B" w:rsidRDefault="0087496C" w:rsidP="002712EB">
      <w:pPr>
        <w:ind w:left="1418"/>
        <w:jc w:val="both"/>
        <w:rPr>
          <w:rFonts w:ascii="Calibri" w:hAnsi="Calibri" w:cs="Arial"/>
          <w:sz w:val="22"/>
          <w:szCs w:val="22"/>
        </w:rPr>
      </w:pPr>
    </w:p>
    <w:p w:rsidR="002712EB" w:rsidRDefault="00BB203B" w:rsidP="002712EB">
      <w:pPr>
        <w:ind w:left="1418"/>
        <w:jc w:val="both"/>
        <w:rPr>
          <w:rFonts w:ascii="Calibri" w:hAnsi="Calibri" w:cs="Arial"/>
          <w:sz w:val="22"/>
          <w:szCs w:val="22"/>
        </w:rPr>
      </w:pPr>
      <w:r w:rsidRPr="00BB203B">
        <w:rPr>
          <w:rFonts w:ascii="Calibri" w:hAnsi="Calibri" w:cs="Arial"/>
          <w:sz w:val="22"/>
          <w:szCs w:val="22"/>
        </w:rPr>
        <w:t>178 RH</w:t>
      </w:r>
      <w:r w:rsidR="002712EB">
        <w:rPr>
          <w:rFonts w:ascii="Calibri" w:hAnsi="Calibri" w:cs="Arial"/>
          <w:sz w:val="22"/>
          <w:szCs w:val="22"/>
        </w:rPr>
        <w:t xml:space="preserve"> requiere </w:t>
      </w:r>
      <w:r w:rsidR="008471C7">
        <w:rPr>
          <w:rFonts w:ascii="Calibri" w:hAnsi="Calibri" w:cs="Arial"/>
          <w:sz w:val="22"/>
          <w:szCs w:val="22"/>
        </w:rPr>
        <w:t xml:space="preserve">a tal fin </w:t>
      </w:r>
      <w:r w:rsidR="002712EB">
        <w:rPr>
          <w:rFonts w:ascii="Calibri" w:hAnsi="Calibri" w:cs="Arial"/>
          <w:sz w:val="22"/>
          <w:szCs w:val="22"/>
        </w:rPr>
        <w:t xml:space="preserve">consentimiento de: </w:t>
      </w:r>
    </w:p>
    <w:p w:rsidR="002712EB" w:rsidRDefault="002712EB" w:rsidP="002712EB">
      <w:pPr>
        <w:ind w:left="1418"/>
        <w:jc w:val="both"/>
        <w:rPr>
          <w:rFonts w:ascii="Calibri" w:hAnsi="Calibri" w:cs="Arial"/>
          <w:sz w:val="22"/>
          <w:szCs w:val="22"/>
        </w:rPr>
      </w:pPr>
    </w:p>
    <w:p w:rsidR="002712E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</w:t>
      </w:r>
      <w:r w:rsidR="00BB203B" w:rsidRPr="00BB203B">
        <w:rPr>
          <w:rFonts w:ascii="Calibri" w:hAnsi="Calibri" w:cs="Arial"/>
          <w:sz w:val="22"/>
          <w:szCs w:val="22"/>
        </w:rPr>
        <w:t>representantes legales de la persona a cuyo favor se hubiere hecho la inscripción</w:t>
      </w:r>
      <w:r>
        <w:rPr>
          <w:rFonts w:ascii="Calibri" w:hAnsi="Calibri" w:cs="Arial"/>
          <w:sz w:val="22"/>
          <w:szCs w:val="22"/>
        </w:rPr>
        <w:t>/</w:t>
      </w:r>
      <w:r w:rsidR="00BB203B" w:rsidRPr="00BB203B">
        <w:rPr>
          <w:rFonts w:ascii="Calibri" w:hAnsi="Calibri" w:cs="Arial"/>
          <w:sz w:val="22"/>
          <w:szCs w:val="22"/>
        </w:rPr>
        <w:t xml:space="preserve">anotación </w:t>
      </w:r>
      <w:r>
        <w:rPr>
          <w:rFonts w:ascii="Calibri" w:hAnsi="Calibri" w:cs="Arial"/>
          <w:sz w:val="22"/>
          <w:szCs w:val="22"/>
        </w:rPr>
        <w:t>(</w:t>
      </w:r>
      <w:r w:rsidR="00BB203B" w:rsidRPr="00BB203B">
        <w:rPr>
          <w:rFonts w:ascii="Calibri" w:hAnsi="Calibri" w:cs="Arial"/>
          <w:sz w:val="22"/>
          <w:szCs w:val="22"/>
        </w:rPr>
        <w:t>necesita</w:t>
      </w:r>
      <w:r>
        <w:rPr>
          <w:rFonts w:ascii="Calibri" w:hAnsi="Calibri" w:cs="Arial"/>
          <w:sz w:val="22"/>
          <w:szCs w:val="22"/>
        </w:rPr>
        <w:t>n</w:t>
      </w:r>
      <w:r w:rsidR="00BB203B" w:rsidRPr="00BB203B">
        <w:rPr>
          <w:rFonts w:ascii="Calibri" w:hAnsi="Calibri" w:cs="Arial"/>
          <w:sz w:val="22"/>
          <w:szCs w:val="22"/>
        </w:rPr>
        <w:t xml:space="preserve"> autorizaci</w:t>
      </w:r>
      <w:r>
        <w:rPr>
          <w:rFonts w:ascii="Calibri" w:hAnsi="Calibri" w:cs="Arial"/>
          <w:sz w:val="22"/>
          <w:szCs w:val="22"/>
        </w:rPr>
        <w:t>ón</w:t>
      </w:r>
      <w:r w:rsidR="00BB203B" w:rsidRPr="00BB203B">
        <w:rPr>
          <w:rFonts w:ascii="Calibri" w:hAnsi="Calibri" w:cs="Arial"/>
          <w:sz w:val="22"/>
          <w:szCs w:val="22"/>
        </w:rPr>
        <w:t xml:space="preserve"> y observar las formalidades exigidas para la enajenación</w:t>
      </w:r>
      <w:r>
        <w:rPr>
          <w:rFonts w:ascii="Calibri" w:hAnsi="Calibri" w:cs="Arial"/>
          <w:sz w:val="22"/>
          <w:szCs w:val="22"/>
        </w:rPr>
        <w:t>)</w:t>
      </w:r>
    </w:p>
    <w:p w:rsidR="002712E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</w:p>
    <w:p w:rsidR="002712EB" w:rsidRPr="00BB203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titulares de </w:t>
      </w:r>
      <w:r w:rsidR="00BB203B" w:rsidRPr="00BB203B">
        <w:rPr>
          <w:rFonts w:ascii="Calibri" w:hAnsi="Calibri" w:cs="Arial"/>
          <w:sz w:val="22"/>
          <w:szCs w:val="22"/>
        </w:rPr>
        <w:t>la patria potestad</w:t>
      </w:r>
      <w:r>
        <w:rPr>
          <w:rFonts w:ascii="Calibri" w:hAnsi="Calibri" w:cs="Arial"/>
          <w:sz w:val="22"/>
          <w:szCs w:val="22"/>
        </w:rPr>
        <w:t xml:space="preserve"> (basta su consentimiento)</w:t>
      </w:r>
    </w:p>
    <w:p w:rsidR="002712E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</w:p>
    <w:p w:rsidR="002712E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</w:t>
      </w:r>
      <w:r w:rsidR="00BB203B" w:rsidRPr="00BB203B">
        <w:rPr>
          <w:rFonts w:ascii="Calibri" w:hAnsi="Calibri" w:cs="Arial"/>
          <w:sz w:val="22"/>
          <w:szCs w:val="22"/>
        </w:rPr>
        <w:t xml:space="preserve">menores emancipados </w:t>
      </w:r>
      <w:r>
        <w:rPr>
          <w:rFonts w:ascii="Calibri" w:hAnsi="Calibri" w:cs="Arial"/>
          <w:sz w:val="22"/>
          <w:szCs w:val="22"/>
        </w:rPr>
        <w:t>(exclusivamente ellos)</w:t>
      </w:r>
    </w:p>
    <w:p w:rsidR="002712E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</w:p>
    <w:p w:rsidR="00BB203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Los </w:t>
      </w:r>
      <w:r w:rsidR="00BB203B" w:rsidRPr="00BB203B">
        <w:rPr>
          <w:rFonts w:ascii="Calibri" w:hAnsi="Calibri" w:cs="Arial"/>
          <w:sz w:val="22"/>
          <w:szCs w:val="22"/>
        </w:rPr>
        <w:t>herederos fiduciarios</w:t>
      </w:r>
      <w:r>
        <w:rPr>
          <w:rFonts w:ascii="Calibri" w:hAnsi="Calibri" w:cs="Arial"/>
          <w:sz w:val="22"/>
          <w:szCs w:val="22"/>
        </w:rPr>
        <w:t>/</w:t>
      </w:r>
      <w:r w:rsidR="00BB203B" w:rsidRPr="00BB203B">
        <w:rPr>
          <w:rFonts w:ascii="Calibri" w:hAnsi="Calibri" w:cs="Arial"/>
          <w:sz w:val="22"/>
          <w:szCs w:val="22"/>
        </w:rPr>
        <w:t>usufructuarios</w:t>
      </w:r>
      <w:r>
        <w:rPr>
          <w:rFonts w:ascii="Calibri" w:hAnsi="Calibri" w:cs="Arial"/>
          <w:sz w:val="22"/>
          <w:szCs w:val="22"/>
        </w:rPr>
        <w:t xml:space="preserve"> (</w:t>
      </w:r>
      <w:r w:rsidR="00BB203B" w:rsidRPr="00BB203B">
        <w:rPr>
          <w:rFonts w:ascii="Calibri" w:hAnsi="Calibri" w:cs="Arial"/>
          <w:sz w:val="22"/>
          <w:szCs w:val="22"/>
        </w:rPr>
        <w:t>no s</w:t>
      </w:r>
      <w:r>
        <w:rPr>
          <w:rFonts w:ascii="Calibri" w:hAnsi="Calibri" w:cs="Arial"/>
          <w:sz w:val="22"/>
          <w:szCs w:val="22"/>
        </w:rPr>
        <w:t>iendo</w:t>
      </w:r>
      <w:r w:rsidR="00BB203B" w:rsidRPr="00BB203B">
        <w:rPr>
          <w:rFonts w:ascii="Calibri" w:hAnsi="Calibri" w:cs="Arial"/>
          <w:sz w:val="22"/>
          <w:szCs w:val="22"/>
        </w:rPr>
        <w:t xml:space="preserve"> conocidos los fideicomisarios</w:t>
      </w:r>
      <w:r>
        <w:rPr>
          <w:rFonts w:ascii="Calibri" w:hAnsi="Calibri" w:cs="Arial"/>
          <w:sz w:val="22"/>
          <w:szCs w:val="22"/>
        </w:rPr>
        <w:t>/</w:t>
      </w:r>
      <w:r w:rsidR="00BB203B" w:rsidRPr="00BB203B">
        <w:rPr>
          <w:rFonts w:ascii="Calibri" w:hAnsi="Calibri" w:cs="Arial"/>
          <w:sz w:val="22"/>
          <w:szCs w:val="22"/>
        </w:rPr>
        <w:t xml:space="preserve">nudo propietarios respectivos, </w:t>
      </w:r>
      <w:r>
        <w:rPr>
          <w:rFonts w:ascii="Calibri" w:hAnsi="Calibri" w:cs="Arial"/>
          <w:sz w:val="22"/>
          <w:szCs w:val="22"/>
        </w:rPr>
        <w:t>basta su consentimiento con obligación de inversión</w:t>
      </w:r>
      <w:r w:rsidR="00BB203B" w:rsidRPr="00BB203B">
        <w:rPr>
          <w:rFonts w:ascii="Calibri" w:hAnsi="Calibri" w:cs="Arial"/>
          <w:sz w:val="22"/>
          <w:szCs w:val="22"/>
        </w:rPr>
        <w:t xml:space="preserve"> en valores del Estado</w:t>
      </w:r>
      <w:r>
        <w:rPr>
          <w:rFonts w:ascii="Calibri" w:hAnsi="Calibri" w:cs="Arial"/>
          <w:sz w:val="22"/>
          <w:szCs w:val="22"/>
        </w:rPr>
        <w:t xml:space="preserve"> y </w:t>
      </w:r>
      <w:r w:rsidR="00BB203B" w:rsidRPr="00BB203B">
        <w:rPr>
          <w:rFonts w:ascii="Calibri" w:hAnsi="Calibri" w:cs="Arial"/>
          <w:sz w:val="22"/>
          <w:szCs w:val="22"/>
        </w:rPr>
        <w:t>dep</w:t>
      </w:r>
      <w:r>
        <w:rPr>
          <w:rFonts w:ascii="Calibri" w:hAnsi="Calibri" w:cs="Arial"/>
          <w:sz w:val="22"/>
          <w:szCs w:val="22"/>
        </w:rPr>
        <w:t>ósito</w:t>
      </w:r>
      <w:r w:rsidR="005E07FB">
        <w:rPr>
          <w:rFonts w:ascii="Calibri" w:hAnsi="Calibri" w:cs="Arial"/>
          <w:sz w:val="22"/>
          <w:szCs w:val="22"/>
        </w:rPr>
        <w:t xml:space="preserve"> </w:t>
      </w:r>
      <w:r w:rsidR="005E07FB" w:rsidRPr="005E07FB">
        <w:rPr>
          <w:rFonts w:ascii="Calibri" w:hAnsi="Calibri" w:cs="Arial"/>
          <w:sz w:val="22"/>
          <w:szCs w:val="22"/>
        </w:rPr>
        <w:t>en un establecimiento bancario o Caja oficial a favor de quienes puedan tener derecho a tal importe</w:t>
      </w:r>
      <w:r>
        <w:rPr>
          <w:rFonts w:ascii="Calibri" w:hAnsi="Calibri" w:cs="Arial"/>
          <w:sz w:val="22"/>
          <w:szCs w:val="22"/>
        </w:rPr>
        <w:t>)</w:t>
      </w:r>
    </w:p>
    <w:p w:rsidR="002712EB" w:rsidRPr="00BB203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</w:p>
    <w:p w:rsidR="00BB203B" w:rsidRPr="00BB203B" w:rsidRDefault="002712EB" w:rsidP="002712EB">
      <w:pPr>
        <w:ind w:left="212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BB203B" w:rsidRPr="00BB203B">
        <w:rPr>
          <w:rFonts w:ascii="Calibri" w:hAnsi="Calibri" w:cs="Arial"/>
          <w:sz w:val="22"/>
          <w:szCs w:val="22"/>
        </w:rPr>
        <w:t xml:space="preserve">l cónyuge a cuyo nombre aparezca constituido el crédito </w:t>
      </w:r>
      <w:r>
        <w:rPr>
          <w:rFonts w:ascii="Calibri" w:hAnsi="Calibri" w:cs="Arial"/>
          <w:sz w:val="22"/>
          <w:szCs w:val="22"/>
        </w:rPr>
        <w:t>ganancial (</w:t>
      </w:r>
      <w:r w:rsidRPr="002712EB">
        <w:rPr>
          <w:rFonts w:ascii="Calibri" w:hAnsi="Calibri" w:cs="Arial"/>
          <w:i/>
          <w:sz w:val="22"/>
          <w:szCs w:val="22"/>
        </w:rPr>
        <w:t>él solo</w:t>
      </w:r>
      <w:r>
        <w:rPr>
          <w:rFonts w:ascii="Calibri" w:hAnsi="Calibri" w:cs="Arial"/>
          <w:sz w:val="22"/>
          <w:szCs w:val="22"/>
        </w:rPr>
        <w:t>, a diferencia del art 58 LH para constancia del pago del precio aplazado  –“uno cualquiera“)</w:t>
      </w:r>
    </w:p>
    <w:p w:rsidR="0087496C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471C7" w:rsidRPr="008471C7" w:rsidRDefault="008471C7" w:rsidP="008471C7">
      <w:pPr>
        <w:ind w:left="1418"/>
        <w:jc w:val="both"/>
        <w:rPr>
          <w:rFonts w:ascii="Calibri" w:hAnsi="Calibri" w:cs="Arial"/>
          <w:sz w:val="22"/>
          <w:szCs w:val="22"/>
        </w:rPr>
      </w:pPr>
      <w:r w:rsidRPr="008471C7">
        <w:rPr>
          <w:rFonts w:ascii="Calibri" w:hAnsi="Calibri" w:cs="Arial"/>
          <w:sz w:val="22"/>
          <w:szCs w:val="22"/>
        </w:rPr>
        <w:t>213 RH Los herederos podrán cancelar durante la proindivisión las inscripciones</w:t>
      </w:r>
      <w:r>
        <w:rPr>
          <w:rFonts w:ascii="Calibri" w:hAnsi="Calibri" w:cs="Arial"/>
          <w:sz w:val="22"/>
          <w:szCs w:val="22"/>
        </w:rPr>
        <w:t>/</w:t>
      </w:r>
      <w:r w:rsidRPr="008471C7">
        <w:rPr>
          <w:rFonts w:ascii="Calibri" w:hAnsi="Calibri" w:cs="Arial"/>
          <w:sz w:val="22"/>
          <w:szCs w:val="22"/>
        </w:rPr>
        <w:t xml:space="preserve">anotaciones extendidas a favor de su causante, siempre que acrediten con arreglo al </w:t>
      </w:r>
      <w:hyperlink r:id="rId7" w:anchor="a79" w:history="1">
        <w:r w:rsidRPr="008471C7">
          <w:rPr>
            <w:rFonts w:ascii="Calibri" w:hAnsi="Calibri" w:cs="Arial"/>
            <w:sz w:val="22"/>
            <w:szCs w:val="22"/>
          </w:rPr>
          <w:t>artículo 79</w:t>
        </w:r>
      </w:hyperlink>
      <w:r w:rsidRPr="008471C7">
        <w:rPr>
          <w:rFonts w:ascii="Calibri" w:hAnsi="Calibri" w:cs="Arial"/>
          <w:sz w:val="22"/>
          <w:szCs w:val="22"/>
        </w:rPr>
        <w:t xml:space="preserve"> el fallecimiento de aquél y su calidad de tales herederos, a no ser que conste la existencia de Comisarios Contadores o Albaceas a quienes corresponda dicha facultad.</w:t>
      </w:r>
    </w:p>
    <w:p w:rsidR="008471C7" w:rsidRPr="00A7012E" w:rsidRDefault="008471C7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Podrán, no obstante, ser canceladas sin dichos requisitos cuando el derecho inscrito o anotado quede extinguido por declaración de la Ley o resulte así del mismo título en cuya virtud se practicó la inscripción o anotación preventiva.</w:t>
      </w: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Si constituida la inscripción o anotación por escritura pública, procediere su cancelación y no consintiere en ella aquel a quien ésta perjudique, podrá el otro interesado exigirla en juicio ordinario.</w:t>
      </w: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87496C" w:rsidRDefault="0087496C" w:rsidP="0087496C">
      <w:pPr>
        <w:ind w:left="709"/>
        <w:jc w:val="both"/>
        <w:rPr>
          <w:rFonts w:ascii="Calibri" w:hAnsi="Calibri" w:cs="Arial"/>
          <w:sz w:val="22"/>
          <w:szCs w:val="22"/>
          <w:lang w:val="es-ES"/>
        </w:rPr>
      </w:pP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Lo dispuesto en el presente artículo se entiende sin perjuicio de las normas especiales que sobre determinadas cancelaciones se comprenden en esta Ley...</w:t>
      </w:r>
    </w:p>
    <w:p w:rsidR="0087496C" w:rsidRDefault="0087496C" w:rsidP="0087496C">
      <w:pPr>
        <w:ind w:left="709"/>
        <w:jc w:val="both"/>
        <w:rPr>
          <w:rFonts w:ascii="Calibri" w:hAnsi="Calibri" w:cs="Arial"/>
          <w:sz w:val="22"/>
          <w:szCs w:val="22"/>
          <w:lang w:val="es-ES"/>
        </w:rPr>
      </w:pPr>
    </w:p>
    <w:p w:rsidR="005E07FB" w:rsidRPr="00A7012E" w:rsidRDefault="005E07FB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 xml:space="preserve">A solicitud del titular registral de cualquier derecho sobre la finca afectada, podrá procederse a la cancelación de condiciones resolutorias en garantía del precio aplazado a que se refiere el artículo 11 de esta Ley y de hipotecas en garantía de cualquier clase de obligación, </w:t>
      </w:r>
      <w:r w:rsidRPr="00A7012E">
        <w:rPr>
          <w:rFonts w:ascii="Calibri" w:hAnsi="Calibri" w:cs="Arial"/>
          <w:b/>
          <w:i/>
          <w:color w:val="808080"/>
          <w:sz w:val="22"/>
          <w:szCs w:val="22"/>
          <w:u w:val="single"/>
          <w:lang w:val="es-ES"/>
        </w:rPr>
        <w:t>para las que no se hubiera pactado un plazo concreto de duración</w:t>
      </w: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...</w:t>
      </w:r>
    </w:p>
    <w:p w:rsidR="005E07FB" w:rsidRDefault="005E07FB" w:rsidP="0087496C">
      <w:pPr>
        <w:ind w:left="709"/>
        <w:jc w:val="both"/>
        <w:rPr>
          <w:rFonts w:ascii="Calibri" w:hAnsi="Calibri" w:cs="Arial"/>
          <w:sz w:val="22"/>
          <w:szCs w:val="22"/>
          <w:lang w:val="es-ES"/>
        </w:rPr>
      </w:pPr>
    </w:p>
    <w:p w:rsidR="005E07FB" w:rsidRPr="005E07FB" w:rsidRDefault="005E07FB" w:rsidP="005E07FB">
      <w:pPr>
        <w:ind w:left="1418"/>
        <w:jc w:val="both"/>
        <w:rPr>
          <w:rFonts w:ascii="Calibri" w:hAnsi="Calibri" w:cs="Calibri"/>
          <w:b/>
          <w:bCs/>
          <w:sz w:val="22"/>
          <w:szCs w:val="22"/>
          <w:lang w:val="es-ES"/>
        </w:rPr>
      </w:pPr>
      <w:r w:rsidRPr="005E07FB">
        <w:rPr>
          <w:rFonts w:ascii="Calibri" w:hAnsi="Calibri" w:cs="Arial"/>
          <w:sz w:val="22"/>
          <w:szCs w:val="22"/>
        </w:rPr>
        <w:t>E</w:t>
      </w:r>
      <w:r w:rsidRPr="005E07FB">
        <w:rPr>
          <w:rFonts w:ascii="Calibri" w:hAnsi="Calibri" w:cs="Calibri"/>
          <w:sz w:val="22"/>
          <w:szCs w:val="22"/>
        </w:rPr>
        <w:t xml:space="preserve">n la práctica diaria es muy frecuente encontrarse con inscripciones de CR/Hipotecas vigentes a pesar de que el deudor </w:t>
      </w:r>
      <w:r>
        <w:rPr>
          <w:rFonts w:ascii="Calibri" w:hAnsi="Calibri" w:cs="Calibri"/>
          <w:sz w:val="22"/>
          <w:szCs w:val="22"/>
        </w:rPr>
        <w:t xml:space="preserve">presumiblemente </w:t>
      </w:r>
      <w:r w:rsidRPr="005E07FB">
        <w:rPr>
          <w:rFonts w:ascii="Calibri" w:hAnsi="Calibri" w:cs="Calibri"/>
          <w:sz w:val="22"/>
          <w:szCs w:val="22"/>
        </w:rPr>
        <w:t>ya cumplió la obligación garantizada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lastRenderedPageBreak/>
        <w:t xml:space="preserve">Para resolver esta situación se introdujo este párrafo, cuyo deslinde respecto al expediente del art 210 LH realiza la RDGRN </w:t>
      </w:r>
      <w:r w:rsidRPr="005E07FB">
        <w:rPr>
          <w:rFonts w:ascii="Calibri" w:hAnsi="Calibri" w:cs="Calibri"/>
          <w:sz w:val="22"/>
          <w:szCs w:val="22"/>
        </w:rPr>
        <w:t>2 de diciembre de 2015</w:t>
      </w:r>
      <w:r>
        <w:rPr>
          <w:rFonts w:ascii="Calibri" w:hAnsi="Calibri" w:cs="Calibri"/>
          <w:sz w:val="22"/>
          <w:szCs w:val="22"/>
        </w:rPr>
        <w:t>, REMISION</w:t>
      </w:r>
    </w:p>
    <w:p w:rsidR="005E07FB" w:rsidRPr="005E07FB" w:rsidRDefault="005E07FB" w:rsidP="0087496C">
      <w:pPr>
        <w:ind w:left="709"/>
        <w:jc w:val="both"/>
        <w:rPr>
          <w:rFonts w:ascii="Calibri" w:hAnsi="Calibri" w:cs="Arial"/>
          <w:sz w:val="22"/>
          <w:szCs w:val="22"/>
          <w:lang w:val="es-ES"/>
        </w:rPr>
      </w:pPr>
    </w:p>
    <w:p w:rsidR="005E07FB" w:rsidRPr="0087496C" w:rsidRDefault="005E07FB" w:rsidP="0087496C">
      <w:pPr>
        <w:ind w:left="709"/>
        <w:jc w:val="both"/>
        <w:rPr>
          <w:rFonts w:ascii="Calibri" w:hAnsi="Calibri" w:cs="Arial"/>
          <w:sz w:val="22"/>
          <w:szCs w:val="22"/>
          <w:lang w:val="es-ES"/>
        </w:rPr>
      </w:pPr>
    </w:p>
    <w:p w:rsidR="004A7C89" w:rsidRDefault="004A7C89" w:rsidP="0060160B">
      <w:pPr>
        <w:jc w:val="both"/>
        <w:rPr>
          <w:rFonts w:ascii="Calibri" w:hAnsi="Calibri" w:cs="Arial"/>
          <w:sz w:val="22"/>
          <w:szCs w:val="22"/>
        </w:rPr>
      </w:pP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87496C">
        <w:rPr>
          <w:rFonts w:ascii="Calibri" w:hAnsi="Calibri" w:cs="Arial"/>
          <w:b/>
          <w:sz w:val="22"/>
          <w:szCs w:val="22"/>
        </w:rPr>
        <w:t>83 LH</w:t>
      </w:r>
      <w:r>
        <w:rPr>
          <w:rFonts w:ascii="Calibri" w:hAnsi="Calibri" w:cs="Arial"/>
          <w:sz w:val="22"/>
          <w:szCs w:val="22"/>
        </w:rPr>
        <w:t xml:space="preserve"> </w:t>
      </w: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Las inscripciones o anotaciones HECHAS EN VIRTUD DE MANDAMIENTO JUDICIAL no se cancelarán sino por providencia ejecutoria.</w:t>
      </w: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Si los interesados convinieren válidamente en la cancelación, acudirán al Juez o al Tribunal competente por medio de un escrito, manifestándolo así, y después de ratificarse en su contenido, si no hubiere ni pudiere haber perjuicio para tercero, se dictará providencia ordenando la cancelación.</w:t>
      </w: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También dictará el Juez o el Tribunal la misma providencia cuando sea procedente, aunque no consienta en la cancelación la persona en cuyo favor se hubiere hecho.</w:t>
      </w:r>
    </w:p>
    <w:p w:rsidR="0087496C" w:rsidRPr="00A7012E" w:rsidRDefault="0087496C" w:rsidP="0060160B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A7012E" w:rsidRDefault="0087496C" w:rsidP="0087496C">
      <w:pPr>
        <w:ind w:left="709"/>
        <w:jc w:val="both"/>
        <w:rPr>
          <w:rFonts w:ascii="Calibri" w:hAnsi="Calibri" w:cs="Arial"/>
          <w:b/>
          <w:i/>
          <w:color w:val="808080"/>
          <w:szCs w:val="22"/>
          <w:lang w:val="es-ES"/>
        </w:rPr>
      </w:pPr>
      <w:r w:rsidRPr="00B7586D">
        <w:rPr>
          <w:rFonts w:ascii="Calibri" w:hAnsi="Calibri" w:cs="Arial"/>
          <w:b/>
          <w:sz w:val="22"/>
          <w:szCs w:val="22"/>
        </w:rPr>
        <w:t>84 LH</w:t>
      </w:r>
      <w:r w:rsidRPr="00B7586D">
        <w:rPr>
          <w:rFonts w:ascii="Calibri" w:hAnsi="Calibri" w:cs="Arial"/>
          <w:sz w:val="22"/>
          <w:szCs w:val="22"/>
        </w:rPr>
        <w:t xml:space="preserve">  </w:t>
      </w: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Será competente para ordenar la cancelación de una anotación preventiva o su conversión en inscripción definitiva el Juez o Tribunal que la haya mandado hacer o aquel a quien haya correspondido legalmente el conocimiento del negocio que dio lugar a ella</w:t>
      </w:r>
      <w:r w:rsidRPr="00A7012E">
        <w:rPr>
          <w:rFonts w:ascii="Calibri" w:hAnsi="Calibri" w:cs="Arial"/>
          <w:b/>
          <w:i/>
          <w:color w:val="808080"/>
          <w:szCs w:val="22"/>
          <w:lang w:val="es-ES"/>
        </w:rPr>
        <w:t>.</w:t>
      </w: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87496C">
        <w:rPr>
          <w:rFonts w:ascii="Calibri" w:hAnsi="Calibri" w:cs="Arial"/>
          <w:b/>
          <w:sz w:val="22"/>
          <w:szCs w:val="22"/>
          <w:lang w:val="es-ES"/>
        </w:rPr>
        <w:t>85 LH</w:t>
      </w:r>
      <w:r>
        <w:rPr>
          <w:rFonts w:ascii="Calibri" w:hAnsi="Calibri" w:cs="Arial"/>
          <w:sz w:val="22"/>
          <w:szCs w:val="22"/>
          <w:lang w:val="es-ES"/>
        </w:rPr>
        <w:t xml:space="preserve">  </w:t>
      </w: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La anotación preventiva se cancelará no sólo cuando se extinga el derecho anotado, sino también cuando en la escritura se convenga o en la providencia se disponga convertirla en inscripción definitiva.</w:t>
      </w:r>
    </w:p>
    <w:p w:rsidR="0087496C" w:rsidRPr="00A7012E" w:rsidRDefault="0087496C" w:rsidP="0087496C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</w:p>
    <w:p w:rsidR="00D601C0" w:rsidRDefault="0087496C" w:rsidP="008E4C6D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r w:rsidRPr="00A7012E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SI SE HUBIERE HECHO LA ANOTACIÓN SIN ESCRITURA PÚBLICA y se tratase de cancelarla sin convertirla en inscripción definitiva, podrá hacerse también la cancelación mediante documentos de la misma especie que los que se hubieren pres</w:t>
      </w:r>
      <w:r w:rsidR="008E4C6D">
        <w:rPr>
          <w:rFonts w:ascii="Calibri" w:hAnsi="Calibri" w:cs="Arial"/>
          <w:b/>
          <w:i/>
          <w:color w:val="808080"/>
          <w:sz w:val="22"/>
          <w:szCs w:val="22"/>
          <w:lang w:val="es-ES"/>
        </w:rPr>
        <w:t>entado para hacer la anotación.</w:t>
      </w:r>
    </w:p>
    <w:p w:rsidR="008E4C6D" w:rsidRPr="008E4C6D" w:rsidRDefault="008E4C6D" w:rsidP="008E4C6D">
      <w:pPr>
        <w:jc w:val="both"/>
        <w:rPr>
          <w:rFonts w:ascii="Calibri" w:hAnsi="Calibri" w:cs="Arial"/>
          <w:b/>
          <w:i/>
          <w:color w:val="808080"/>
          <w:sz w:val="22"/>
          <w:szCs w:val="22"/>
          <w:lang w:val="es-ES"/>
        </w:rPr>
      </w:pPr>
      <w:bookmarkStart w:id="0" w:name="_GoBack"/>
      <w:bookmarkEnd w:id="0"/>
    </w:p>
    <w:sectPr w:rsidR="008E4C6D" w:rsidRPr="008E4C6D" w:rsidSect="00D8690C"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9A" w:rsidRDefault="00ED119A">
      <w:r>
        <w:separator/>
      </w:r>
    </w:p>
  </w:endnote>
  <w:endnote w:type="continuationSeparator" w:id="0">
    <w:p w:rsidR="00ED119A" w:rsidRDefault="00ED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C0" w:rsidRDefault="00D601C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01C0" w:rsidRDefault="00D601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EE" w:rsidRDefault="005F61E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C6D">
      <w:rPr>
        <w:noProof/>
      </w:rPr>
      <w:t>5</w:t>
    </w:r>
    <w:r>
      <w:fldChar w:fldCharType="end"/>
    </w:r>
  </w:p>
  <w:p w:rsidR="00D601C0" w:rsidRDefault="00D601C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EE" w:rsidRDefault="005F61E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4C6D">
      <w:rPr>
        <w:noProof/>
      </w:rPr>
      <w:t>1</w:t>
    </w:r>
    <w:r>
      <w:fldChar w:fldCharType="end"/>
    </w:r>
  </w:p>
  <w:p w:rsidR="005F61EE" w:rsidRDefault="005F6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9A" w:rsidRDefault="00ED119A">
      <w:r>
        <w:separator/>
      </w:r>
    </w:p>
  </w:footnote>
  <w:footnote w:type="continuationSeparator" w:id="0">
    <w:p w:rsidR="00ED119A" w:rsidRDefault="00ED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2D1CA"/>
    <w:lvl w:ilvl="0">
      <w:numFmt w:val="decimal"/>
      <w:lvlText w:val="*"/>
      <w:lvlJc w:val="left"/>
    </w:lvl>
  </w:abstractNum>
  <w:abstractNum w:abstractNumId="1" w15:restartNumberingAfterBreak="0">
    <w:nsid w:val="01F67413"/>
    <w:multiLevelType w:val="hybridMultilevel"/>
    <w:tmpl w:val="8FB46D06"/>
    <w:lvl w:ilvl="0" w:tplc="0B528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05A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43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09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7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0A6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F41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85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5CB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D2179"/>
    <w:multiLevelType w:val="hybridMultilevel"/>
    <w:tmpl w:val="93F24A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6203E8"/>
    <w:multiLevelType w:val="hybridMultilevel"/>
    <w:tmpl w:val="15523B0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8403BE"/>
    <w:multiLevelType w:val="hybridMultilevel"/>
    <w:tmpl w:val="5F360140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C01F1"/>
    <w:multiLevelType w:val="hybridMultilevel"/>
    <w:tmpl w:val="49780B04"/>
    <w:lvl w:ilvl="0" w:tplc="F1DAC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C4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4D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07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CEC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E5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E6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6AC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2D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76FBD"/>
    <w:multiLevelType w:val="hybridMultilevel"/>
    <w:tmpl w:val="E6D03F92"/>
    <w:lvl w:ilvl="0" w:tplc="8DB86596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4F0737"/>
    <w:multiLevelType w:val="hybridMultilevel"/>
    <w:tmpl w:val="648A9F28"/>
    <w:lvl w:ilvl="0" w:tplc="0C80F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B0865"/>
    <w:multiLevelType w:val="hybridMultilevel"/>
    <w:tmpl w:val="E02C99C2"/>
    <w:lvl w:ilvl="0" w:tplc="0C0A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 w15:restartNumberingAfterBreak="0">
    <w:nsid w:val="2E9B3DD1"/>
    <w:multiLevelType w:val="hybridMultilevel"/>
    <w:tmpl w:val="6B5E51FA"/>
    <w:lvl w:ilvl="0" w:tplc="3D6A7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AB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0F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56A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A1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8E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D23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8B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88D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63FE7"/>
    <w:multiLevelType w:val="hybridMultilevel"/>
    <w:tmpl w:val="00C859D0"/>
    <w:lvl w:ilvl="0" w:tplc="0C0A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3BB66434"/>
    <w:multiLevelType w:val="hybridMultilevel"/>
    <w:tmpl w:val="F29CD79E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651A6"/>
    <w:multiLevelType w:val="hybridMultilevel"/>
    <w:tmpl w:val="0C14B332"/>
    <w:lvl w:ilvl="0" w:tplc="F5D45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A5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A5A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C9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8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E0A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6A0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1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C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FF3641"/>
    <w:multiLevelType w:val="hybridMultilevel"/>
    <w:tmpl w:val="836EB9F8"/>
    <w:lvl w:ilvl="0" w:tplc="3710AE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A26D1"/>
    <w:multiLevelType w:val="hybridMultilevel"/>
    <w:tmpl w:val="CAB060F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C306DBE"/>
    <w:multiLevelType w:val="hybridMultilevel"/>
    <w:tmpl w:val="2E4A21E8"/>
    <w:lvl w:ilvl="0" w:tplc="4D60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14C7C"/>
    <w:multiLevelType w:val="hybridMultilevel"/>
    <w:tmpl w:val="E1C6FEA4"/>
    <w:lvl w:ilvl="0" w:tplc="0C0A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67B4369A"/>
    <w:multiLevelType w:val="hybridMultilevel"/>
    <w:tmpl w:val="EAC4E53C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6A3E2C18"/>
    <w:multiLevelType w:val="hybridMultilevel"/>
    <w:tmpl w:val="8554539E"/>
    <w:lvl w:ilvl="0" w:tplc="C1D245AA">
      <w:start w:val="1"/>
      <w:numFmt w:val="bullet"/>
      <w:lvlText w:val="-"/>
      <w:lvlJc w:val="left"/>
      <w:pPr>
        <w:ind w:left="1117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6FDC255B"/>
    <w:multiLevelType w:val="hybridMultilevel"/>
    <w:tmpl w:val="74F2FC26"/>
    <w:lvl w:ilvl="0" w:tplc="C1D245AA">
      <w:start w:val="1"/>
      <w:numFmt w:val="bullet"/>
      <w:lvlText w:val="-"/>
      <w:lvlJc w:val="left"/>
      <w:pPr>
        <w:ind w:left="178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72F44CFF"/>
    <w:multiLevelType w:val="hybridMultilevel"/>
    <w:tmpl w:val="42EA98BC"/>
    <w:lvl w:ilvl="0" w:tplc="0C0A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1" w15:restartNumberingAfterBreak="0">
    <w:nsid w:val="75E3584C"/>
    <w:multiLevelType w:val="hybridMultilevel"/>
    <w:tmpl w:val="5CB85CC8"/>
    <w:lvl w:ilvl="0" w:tplc="C1D245AA">
      <w:start w:val="1"/>
      <w:numFmt w:val="bullet"/>
      <w:lvlText w:val="-"/>
      <w:lvlJc w:val="left"/>
      <w:pPr>
        <w:ind w:left="1968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2" w15:restartNumberingAfterBreak="0">
    <w:nsid w:val="7CC721F1"/>
    <w:multiLevelType w:val="hybridMultilevel"/>
    <w:tmpl w:val="85D6DB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E6D45"/>
    <w:multiLevelType w:val="hybridMultilevel"/>
    <w:tmpl w:val="704A5B7E"/>
    <w:lvl w:ilvl="0" w:tplc="1924CF7C">
      <w:start w:val="3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3"/>
  </w:num>
  <w:num w:numId="3">
    <w:abstractNumId w:val="22"/>
  </w:num>
  <w:num w:numId="4">
    <w:abstractNumId w:val="5"/>
  </w:num>
  <w:num w:numId="5">
    <w:abstractNumId w:val="23"/>
  </w:num>
  <w:num w:numId="6">
    <w:abstractNumId w:val="7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16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21"/>
  </w:num>
  <w:num w:numId="20">
    <w:abstractNumId w:val="19"/>
  </w:num>
  <w:num w:numId="21">
    <w:abstractNumId w:val="18"/>
  </w:num>
  <w:num w:numId="22">
    <w:abstractNumId w:val="14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C"/>
    <w:rsid w:val="000B0D55"/>
    <w:rsid w:val="000C026D"/>
    <w:rsid w:val="000F5099"/>
    <w:rsid w:val="0016077E"/>
    <w:rsid w:val="001622C1"/>
    <w:rsid w:val="0016581D"/>
    <w:rsid w:val="002712EB"/>
    <w:rsid w:val="00314510"/>
    <w:rsid w:val="00350AEC"/>
    <w:rsid w:val="003A7A82"/>
    <w:rsid w:val="003E2B94"/>
    <w:rsid w:val="00493C0C"/>
    <w:rsid w:val="004A7C89"/>
    <w:rsid w:val="005E07FB"/>
    <w:rsid w:val="005F61EE"/>
    <w:rsid w:val="0060160B"/>
    <w:rsid w:val="0062165C"/>
    <w:rsid w:val="00684AD1"/>
    <w:rsid w:val="00717D9B"/>
    <w:rsid w:val="008471C7"/>
    <w:rsid w:val="0087496C"/>
    <w:rsid w:val="00881D94"/>
    <w:rsid w:val="008825D1"/>
    <w:rsid w:val="008E4C6D"/>
    <w:rsid w:val="00963DB9"/>
    <w:rsid w:val="009B4159"/>
    <w:rsid w:val="00A04960"/>
    <w:rsid w:val="00A7012E"/>
    <w:rsid w:val="00AC1A83"/>
    <w:rsid w:val="00B7586D"/>
    <w:rsid w:val="00BB203B"/>
    <w:rsid w:val="00D601C0"/>
    <w:rsid w:val="00D82E38"/>
    <w:rsid w:val="00D8690C"/>
    <w:rsid w:val="00E017C2"/>
    <w:rsid w:val="00E1318A"/>
    <w:rsid w:val="00E42268"/>
    <w:rsid w:val="00E45473"/>
    <w:rsid w:val="00ED119A"/>
    <w:rsid w:val="00EF4FF5"/>
    <w:rsid w:val="00F9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F1AA6"/>
  <w15:chartTrackingRefBased/>
  <w15:docId w15:val="{D0812D60-A5AD-44E6-9D25-2D1D30A4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60" w:lineRule="exact"/>
      <w:outlineLvl w:val="0"/>
    </w:pPr>
    <w:rPr>
      <w:rFonts w:ascii="Courier New" w:hAnsi="Courier New"/>
      <w:i/>
      <w:i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  <w:outlineLvl w:val="1"/>
    </w:pPr>
    <w:rPr>
      <w:rFonts w:ascii="Courier New" w:hAnsi="Courier New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7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49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mas">
    <w:name w:val="temas"/>
    <w:basedOn w:val="Normal"/>
    <w:rPr>
      <w:rFonts w:ascii="Courier New" w:hAnsi="Courier New"/>
      <w:color w:val="000000"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sz w:val="17"/>
      <w:szCs w:val="17"/>
      <w:lang w:val="es-ES"/>
    </w:rPr>
  </w:style>
  <w:style w:type="character" w:styleId="Hipervnculo">
    <w:name w:val="Hyperlink"/>
    <w:rPr>
      <w:strike w:val="0"/>
      <w:dstrike w:val="0"/>
      <w:color w:val="4C6F99"/>
      <w:u w:val="none"/>
      <w:effect w:val="none"/>
    </w:rPr>
  </w:style>
  <w:style w:type="paragraph" w:styleId="Textoindependiente">
    <w:name w:val="Body Text"/>
    <w:basedOn w:val="Normal"/>
    <w:semiHidden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ourier New" w:hAnsi="Courier New" w:cs="Courier New"/>
    </w:rPr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semiHidden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ourier New" w:hAnsi="Courier New" w:cs="Courier New"/>
      <w:b/>
      <w:caps/>
      <w:szCs w:val="24"/>
      <w:u w:val="single"/>
    </w:rPr>
  </w:style>
  <w:style w:type="table" w:styleId="Tablaconcuadrcula">
    <w:name w:val="Table Grid"/>
    <w:basedOn w:val="Tablanormal"/>
    <w:uiPriority w:val="59"/>
    <w:rsid w:val="00D8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F61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5F61EE"/>
    <w:rPr>
      <w:lang w:val="es-ES_tradnl"/>
    </w:rPr>
  </w:style>
  <w:style w:type="character" w:customStyle="1" w:styleId="PiedepginaCar">
    <w:name w:val="Pie de página Car"/>
    <w:link w:val="Piedepgina"/>
    <w:uiPriority w:val="99"/>
    <w:rsid w:val="005F61EE"/>
    <w:rPr>
      <w:lang w:val="es-ES_tradnl"/>
    </w:rPr>
  </w:style>
  <w:style w:type="paragraph" w:styleId="Prrafodelista">
    <w:name w:val="List Paragraph"/>
    <w:basedOn w:val="Normal"/>
    <w:uiPriority w:val="34"/>
    <w:qFormat/>
    <w:rsid w:val="0060160B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825D1"/>
  </w:style>
  <w:style w:type="character" w:customStyle="1" w:styleId="TextonotaalfinalCar">
    <w:name w:val="Texto nota al final Car"/>
    <w:link w:val="Textonotaalfinal"/>
    <w:uiPriority w:val="99"/>
    <w:semiHidden/>
    <w:rsid w:val="008825D1"/>
    <w:rPr>
      <w:lang w:val="es-ES_tradnl"/>
    </w:rPr>
  </w:style>
  <w:style w:type="character" w:styleId="Refdenotaalfinal">
    <w:name w:val="endnote reference"/>
    <w:uiPriority w:val="99"/>
    <w:semiHidden/>
    <w:unhideWhenUsed/>
    <w:rsid w:val="008825D1"/>
    <w:rPr>
      <w:vertAlign w:val="superscript"/>
    </w:rPr>
  </w:style>
  <w:style w:type="character" w:customStyle="1" w:styleId="Ttulo4Car">
    <w:name w:val="Título 4 Car"/>
    <w:link w:val="Ttulo4"/>
    <w:uiPriority w:val="9"/>
    <w:semiHidden/>
    <w:rsid w:val="0087496C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apple-converted-space">
    <w:name w:val="apple-converted-space"/>
    <w:rsid w:val="0087496C"/>
  </w:style>
  <w:style w:type="character" w:customStyle="1" w:styleId="Ttulo3Car">
    <w:name w:val="Título 3 Car"/>
    <w:link w:val="Ttulo3"/>
    <w:uiPriority w:val="9"/>
    <w:semiHidden/>
    <w:rsid w:val="005E07FB"/>
    <w:rPr>
      <w:rFonts w:ascii="Calibri Light" w:eastAsia="Times New Roman" w:hAnsi="Calibri Light" w:cs="Times New Roman"/>
      <w:b/>
      <w:bCs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Privado/rh.t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51</vt:lpstr>
    </vt:vector>
  </TitlesOfParts>
  <Company>ALFIL</Company>
  <LinksUpToDate>false</LinksUpToDate>
  <CharactersWithSpaces>11061</CharactersWithSpaces>
  <SharedDoc>false</SharedDoc>
  <HLinks>
    <vt:vector size="6" baseType="variant"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http://noticias.juridicas.com/base_datos/Privado/rh.t2.html</vt:lpwstr>
      </vt:variant>
      <vt:variant>
        <vt:lpwstr>a79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51</dc:title>
  <dc:subject/>
  <dc:creator>ENRIQUE DE ELERA SAN MIGUEL</dc:creator>
  <cp:keywords/>
  <dc:description/>
  <cp:lastModifiedBy>Daniel Andreu</cp:lastModifiedBy>
  <cp:revision>2</cp:revision>
  <cp:lastPrinted>2004-03-22T11:08:00Z</cp:lastPrinted>
  <dcterms:created xsi:type="dcterms:W3CDTF">2019-05-28T14:54:00Z</dcterms:created>
  <dcterms:modified xsi:type="dcterms:W3CDTF">2019-05-28T14:54:00Z</dcterms:modified>
</cp:coreProperties>
</file>