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0F" w:rsidRPr="002F060F" w:rsidRDefault="00472F29" w:rsidP="002F060F">
      <w:pPr>
        <w:ind w:right="418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2F060F">
        <w:rPr>
          <w:rFonts w:ascii="Courier New" w:hAnsi="Courier New" w:cs="Courier New"/>
          <w:b/>
          <w:sz w:val="20"/>
          <w:szCs w:val="20"/>
        </w:rPr>
        <w:t>TEMA 27</w:t>
      </w:r>
      <w:r w:rsidR="002F060F" w:rsidRPr="002F060F">
        <w:rPr>
          <w:rFonts w:ascii="Courier New" w:hAnsi="Courier New" w:cs="Courier New"/>
          <w:b/>
          <w:sz w:val="20"/>
          <w:szCs w:val="20"/>
        </w:rPr>
        <w:t xml:space="preserve"> HIPOTECARIO</w:t>
      </w:r>
    </w:p>
    <w:p w:rsidR="002F060F" w:rsidRPr="002F060F" w:rsidRDefault="002F060F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472F29" w:rsidRPr="002F060F" w:rsidRDefault="00472F29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2F060F" w:rsidRPr="002F060F" w:rsidRDefault="0000452B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  <w:r w:rsidRPr="002F060F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EL TÍTULO PÚBLICO ADQUISITIVO:</w:t>
      </w:r>
    </w:p>
    <w:p w:rsidR="002F060F" w:rsidRPr="002F060F" w:rsidRDefault="002F060F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2F060F" w:rsidRPr="002F060F" w:rsidRDefault="002F060F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2F060F" w:rsidRPr="00E537D7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jc w:val="both"/>
        <w:rPr>
          <w:rFonts w:eastAsia="Times New Roman" w:hAnsi="Courier New" w:cs="Courier New"/>
          <w:sz w:val="20"/>
          <w:szCs w:val="20"/>
        </w:rPr>
      </w:pPr>
      <w:r w:rsidRPr="00D6595A">
        <w:rPr>
          <w:rFonts w:hAnsi="Courier New" w:cs="Courier New"/>
          <w:sz w:val="20"/>
          <w:szCs w:val="20"/>
        </w:rPr>
        <w:t>La REFORMA 13/2015,</w:t>
      </w:r>
      <w:r>
        <w:rPr>
          <w:rFonts w:hAnsi="Courier New" w:cs="Courier New"/>
          <w:sz w:val="20"/>
          <w:szCs w:val="20"/>
        </w:rPr>
        <w:t xml:space="preserve"> aparte </w:t>
      </w:r>
      <w:r w:rsidRPr="00AF73B9">
        <w:rPr>
          <w:rFonts w:hAnsi="Courier New" w:cs="Courier New"/>
          <w:sz w:val="20"/>
          <w:szCs w:val="20"/>
          <w:u w:val="single"/>
        </w:rPr>
        <w:t>desjudicializa</w:t>
      </w:r>
      <w:r>
        <w:rPr>
          <w:rFonts w:hAnsi="Courier New" w:cs="Courier New"/>
          <w:sz w:val="20"/>
          <w:szCs w:val="20"/>
        </w:rPr>
        <w:t xml:space="preserve">r y regular con extremo detalle la concordancia Registro-Realidad jurídica </w:t>
      </w:r>
      <w:proofErr w:type="spellStart"/>
      <w:r>
        <w:rPr>
          <w:rFonts w:hAnsi="Courier New" w:cs="Courier New"/>
          <w:sz w:val="20"/>
          <w:szCs w:val="20"/>
        </w:rPr>
        <w:t>extrarregistral</w:t>
      </w:r>
      <w:proofErr w:type="spellEnd"/>
      <w:r>
        <w:rPr>
          <w:rFonts w:hAnsi="Courier New" w:cs="Courier New"/>
          <w:sz w:val="20"/>
          <w:szCs w:val="20"/>
        </w:rPr>
        <w:t xml:space="preserve"> (</w:t>
      </w:r>
      <w:r w:rsidRPr="001C1BDA">
        <w:rPr>
          <w:rFonts w:hAnsi="Courier New" w:cs="Courier New"/>
          <w:sz w:val="20"/>
          <w:szCs w:val="20"/>
        </w:rPr>
        <w:t>deroga</w:t>
      </w:r>
      <w:r>
        <w:rPr>
          <w:rFonts w:hAnsi="Courier New" w:cs="Courier New"/>
          <w:sz w:val="20"/>
          <w:szCs w:val="20"/>
        </w:rPr>
        <w:t>n</w:t>
      </w:r>
      <w:r w:rsidRPr="001C1BDA">
        <w:rPr>
          <w:rFonts w:hAnsi="Courier New" w:cs="Courier New"/>
          <w:sz w:val="20"/>
          <w:szCs w:val="20"/>
        </w:rPr>
        <w:t xml:space="preserve">do </w:t>
      </w:r>
      <w:r>
        <w:rPr>
          <w:rFonts w:hAnsi="Courier New" w:cs="Courier New"/>
          <w:sz w:val="20"/>
          <w:szCs w:val="20"/>
        </w:rPr>
        <w:t xml:space="preserve">así íntegramente </w:t>
      </w:r>
      <w:r w:rsidRPr="001C1BDA">
        <w:rPr>
          <w:rFonts w:hAnsi="Courier New" w:cs="Courier New"/>
          <w:sz w:val="20"/>
          <w:szCs w:val="20"/>
        </w:rPr>
        <w:t>el Título VI del RH</w:t>
      </w:r>
      <w:r>
        <w:rPr>
          <w:rFonts w:hAnsi="Courier New" w:cs="Courier New"/>
          <w:sz w:val="20"/>
          <w:szCs w:val="20"/>
        </w:rPr>
        <w:t xml:space="preserve">, según la </w:t>
      </w:r>
      <w:r w:rsidRPr="001C1BDA">
        <w:rPr>
          <w:rFonts w:hAnsi="Courier New" w:cs="Courier New"/>
          <w:sz w:val="20"/>
          <w:szCs w:val="20"/>
        </w:rPr>
        <w:t>R</w:t>
      </w:r>
      <w:r>
        <w:rPr>
          <w:rFonts w:hAnsi="Courier New" w:cs="Courier New"/>
          <w:sz w:val="20"/>
          <w:szCs w:val="20"/>
        </w:rPr>
        <w:t>DGRN</w:t>
      </w:r>
      <w:r w:rsidRPr="001C1BDA">
        <w:rPr>
          <w:rFonts w:hAnsi="Courier New" w:cs="Courier New"/>
          <w:sz w:val="20"/>
          <w:szCs w:val="20"/>
        </w:rPr>
        <w:t xml:space="preserve"> 19 Noviembre 2015</w:t>
      </w:r>
      <w:r>
        <w:rPr>
          <w:rFonts w:hAnsi="Courier New" w:cs="Courier New"/>
          <w:sz w:val="20"/>
          <w:szCs w:val="20"/>
        </w:rPr>
        <w:t>):</w:t>
      </w:r>
    </w:p>
    <w:p w:rsidR="002F060F" w:rsidRPr="00E537D7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jc w:val="both"/>
        <w:rPr>
          <w:rFonts w:eastAsia="Times New Roman" w:hAnsi="Courier New" w:cs="Courier New"/>
          <w:sz w:val="20"/>
          <w:szCs w:val="20"/>
        </w:rPr>
      </w:pP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eastAsia="Times New Roman" w:hAnsi="Courier New" w:cs="Courier New"/>
          <w:sz w:val="20"/>
          <w:szCs w:val="20"/>
        </w:rPr>
      </w:pPr>
      <w:r>
        <w:rPr>
          <w:rFonts w:hAnsi="Courier New" w:cs="Courier New"/>
          <w:b/>
          <w:sz w:val="20"/>
          <w:szCs w:val="20"/>
        </w:rPr>
        <w:t xml:space="preserve">¥ </w:t>
      </w:r>
      <w:r w:rsidRPr="006B1631">
        <w:rPr>
          <w:rFonts w:hAnsi="Courier New" w:cs="Courier New"/>
          <w:b/>
          <w:sz w:val="20"/>
          <w:szCs w:val="20"/>
        </w:rPr>
        <w:t xml:space="preserve">Amplía los medios </w:t>
      </w:r>
      <w:proofErr w:type="spellStart"/>
      <w:r w:rsidRPr="006B1631">
        <w:rPr>
          <w:rFonts w:hAnsi="Courier New" w:cs="Courier New"/>
          <w:b/>
          <w:sz w:val="20"/>
          <w:szCs w:val="20"/>
        </w:rPr>
        <w:t>inmatriculadores</w:t>
      </w:r>
      <w:proofErr w:type="spellEnd"/>
      <w:r w:rsidRPr="00E537D7">
        <w:rPr>
          <w:rFonts w:hAnsi="Courier New" w:cs="Courier New"/>
          <w:sz w:val="20"/>
          <w:szCs w:val="20"/>
        </w:rPr>
        <w:t xml:space="preserve"> recogidos en la LH:</w:t>
      </w:r>
      <w:r>
        <w:rPr>
          <w:rFonts w:hAnsi="Courier New" w:cs="Courier New"/>
          <w:sz w:val="20"/>
          <w:szCs w:val="20"/>
        </w:rPr>
        <w:t xml:space="preserve"> </w:t>
      </w:r>
      <w:r w:rsidRPr="00E537D7">
        <w:rPr>
          <w:rFonts w:eastAsia="Times New Roman" w:hAnsi="Courier New" w:cs="Courier New"/>
          <w:sz w:val="20"/>
          <w:szCs w:val="20"/>
        </w:rPr>
        <w:t>expediente de dominio (203)</w:t>
      </w:r>
      <w:r>
        <w:rPr>
          <w:rFonts w:eastAsia="Times New Roman" w:hAnsi="Courier New" w:cs="Courier New"/>
          <w:sz w:val="20"/>
          <w:szCs w:val="20"/>
        </w:rPr>
        <w:t xml:space="preserve">, </w:t>
      </w:r>
      <w:r w:rsidRPr="00E537D7">
        <w:rPr>
          <w:rFonts w:eastAsia="Times New Roman" w:hAnsi="Courier New" w:cs="Courier New"/>
          <w:sz w:val="20"/>
          <w:szCs w:val="20"/>
        </w:rPr>
        <w:t>procedimientos del 204</w:t>
      </w:r>
      <w:r>
        <w:rPr>
          <w:rFonts w:eastAsia="Times New Roman" w:hAnsi="Courier New" w:cs="Courier New"/>
          <w:sz w:val="20"/>
          <w:szCs w:val="20"/>
        </w:rPr>
        <w:t xml:space="preserve">, </w:t>
      </w:r>
      <w:r w:rsidR="00D6595A">
        <w:rPr>
          <w:rFonts w:eastAsia="Times New Roman" w:hAnsi="Courier New" w:cs="Courier New"/>
          <w:sz w:val="20"/>
          <w:szCs w:val="20"/>
        </w:rPr>
        <w:t>“</w:t>
      </w:r>
      <w:r w:rsidR="00D6595A" w:rsidRPr="00D6595A">
        <w:rPr>
          <w:rFonts w:eastAsia="Times New Roman" w:hAnsi="Courier New" w:cs="Courier New"/>
          <w:sz w:val="20"/>
          <w:szCs w:val="20"/>
        </w:rPr>
        <w:t>DOBLE</w:t>
      </w:r>
      <w:r w:rsidR="00D6595A">
        <w:rPr>
          <w:rFonts w:eastAsia="Times New Roman" w:hAnsi="Courier New" w:cs="Courier New"/>
          <w:sz w:val="20"/>
          <w:szCs w:val="20"/>
        </w:rPr>
        <w:t>”</w:t>
      </w:r>
      <w:r w:rsidR="00D6595A" w:rsidRPr="00D6595A">
        <w:rPr>
          <w:rFonts w:eastAsia="Times New Roman" w:hAnsi="Courier New" w:cs="Courier New"/>
          <w:b/>
          <w:sz w:val="20"/>
          <w:szCs w:val="20"/>
          <w:u w:val="single"/>
        </w:rPr>
        <w:t xml:space="preserve"> </w:t>
      </w:r>
      <w:r w:rsidR="00D6595A" w:rsidRPr="00E537D7">
        <w:rPr>
          <w:rFonts w:eastAsia="Times New Roman" w:hAnsi="Courier New" w:cs="Courier New"/>
          <w:sz w:val="20"/>
          <w:szCs w:val="20"/>
        </w:rPr>
        <w:t>T</w:t>
      </w:r>
      <w:r w:rsidR="00D6595A" w:rsidRPr="00E537D7">
        <w:rPr>
          <w:rFonts w:hAnsi="Courier New" w:cs="Courier New"/>
          <w:sz w:val="20"/>
          <w:szCs w:val="20"/>
        </w:rPr>
        <w:t xml:space="preserve">ÍTULO </w:t>
      </w:r>
      <w:r w:rsidR="00D6595A">
        <w:rPr>
          <w:rFonts w:hAnsi="Courier New" w:cs="Courier New"/>
          <w:sz w:val="20"/>
          <w:szCs w:val="20"/>
        </w:rPr>
        <w:t xml:space="preserve">PÚBLICO ADQUISITIVO </w:t>
      </w:r>
      <w:r w:rsidRPr="00E537D7">
        <w:rPr>
          <w:rFonts w:hAnsi="Courier New" w:cs="Courier New"/>
          <w:sz w:val="20"/>
          <w:szCs w:val="20"/>
        </w:rPr>
        <w:t>(205)</w:t>
      </w:r>
      <w:r>
        <w:rPr>
          <w:rFonts w:hAnsi="Courier New" w:cs="Courier New"/>
          <w:sz w:val="20"/>
          <w:szCs w:val="20"/>
        </w:rPr>
        <w:t xml:space="preserve"> y el </w:t>
      </w:r>
      <w:r w:rsidRPr="00E537D7">
        <w:rPr>
          <w:rFonts w:eastAsia="Times New Roman" w:hAnsi="Courier New" w:cs="Courier New"/>
          <w:sz w:val="20"/>
          <w:szCs w:val="20"/>
        </w:rPr>
        <w:t>certificado del 206</w:t>
      </w:r>
      <w:r>
        <w:rPr>
          <w:rFonts w:eastAsia="Times New Roman" w:hAnsi="Courier New" w:cs="Courier New"/>
          <w:sz w:val="20"/>
          <w:szCs w:val="20"/>
        </w:rPr>
        <w:t>.</w:t>
      </w:r>
    </w:p>
    <w:p w:rsidR="00D6595A" w:rsidRDefault="00D6595A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1416"/>
        <w:jc w:val="both"/>
        <w:rPr>
          <w:rFonts w:hAnsi="Courier New" w:cs="Courier New"/>
          <w:sz w:val="20"/>
          <w:szCs w:val="20"/>
        </w:rPr>
      </w:pP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1416"/>
        <w:jc w:val="both"/>
        <w:rPr>
          <w:rFonts w:hAnsi="Courier New" w:cs="Courier New"/>
          <w:sz w:val="20"/>
          <w:szCs w:val="20"/>
        </w:rPr>
      </w:pPr>
      <w:r w:rsidRPr="00E537D7">
        <w:rPr>
          <w:rFonts w:hAnsi="Courier New" w:cs="Courier New"/>
          <w:sz w:val="20"/>
          <w:szCs w:val="20"/>
        </w:rPr>
        <w:t xml:space="preserve">La enumeración de la LH </w:t>
      </w:r>
      <w:r>
        <w:rPr>
          <w:rFonts w:hAnsi="Courier New" w:cs="Courier New"/>
          <w:sz w:val="20"/>
          <w:szCs w:val="20"/>
        </w:rPr>
        <w:t>sigue sin ser</w:t>
      </w:r>
      <w:r w:rsidRPr="00E537D7">
        <w:rPr>
          <w:rFonts w:hAnsi="Courier New" w:cs="Courier New"/>
          <w:sz w:val="20"/>
          <w:szCs w:val="20"/>
        </w:rPr>
        <w:t xml:space="preserve"> exhaustiva</w:t>
      </w:r>
      <w:r>
        <w:rPr>
          <w:rFonts w:hAnsi="Courier New" w:cs="Courier New"/>
          <w:sz w:val="20"/>
          <w:szCs w:val="20"/>
        </w:rPr>
        <w:t xml:space="preserve">, </w:t>
      </w:r>
      <w:proofErr w:type="spellStart"/>
      <w:r>
        <w:rPr>
          <w:rFonts w:hAnsi="Courier New" w:cs="Courier New"/>
          <w:sz w:val="20"/>
          <w:szCs w:val="20"/>
        </w:rPr>
        <w:t>vg</w:t>
      </w:r>
      <w:proofErr w:type="spellEnd"/>
      <w:r>
        <w:rPr>
          <w:rFonts w:hAnsi="Courier New" w:cs="Courier New"/>
          <w:sz w:val="20"/>
          <w:szCs w:val="20"/>
        </w:rPr>
        <w:t>:</w:t>
      </w:r>
      <w:r w:rsidRPr="00E537D7">
        <w:rPr>
          <w:rFonts w:hAnsi="Courier New" w:cs="Courier New"/>
          <w:sz w:val="20"/>
          <w:szCs w:val="20"/>
        </w:rPr>
        <w:t xml:space="preserve"> </w:t>
      </w: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1416"/>
        <w:jc w:val="both"/>
        <w:rPr>
          <w:rFonts w:hAnsi="Courier New" w:cs="Courier New"/>
          <w:sz w:val="20"/>
          <w:szCs w:val="20"/>
        </w:rPr>
      </w:pPr>
    </w:p>
    <w:p w:rsidR="002F060F" w:rsidRPr="00E537D7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2124"/>
        <w:jc w:val="both"/>
        <w:rPr>
          <w:rFonts w:hAnsi="Courier New" w:cs="Courier New"/>
          <w:sz w:val="20"/>
          <w:szCs w:val="20"/>
        </w:rPr>
      </w:pPr>
      <w:r w:rsidRPr="006076E4">
        <w:rPr>
          <w:rFonts w:hAnsi="Courier New" w:cs="Courier New"/>
          <w:sz w:val="20"/>
          <w:szCs w:val="20"/>
        </w:rPr>
        <w:t>Registros destruidos</w:t>
      </w:r>
      <w:r w:rsidRPr="00E537D7">
        <w:rPr>
          <w:rFonts w:hAnsi="Courier New" w:cs="Courier New"/>
          <w:sz w:val="20"/>
          <w:szCs w:val="20"/>
        </w:rPr>
        <w:t xml:space="preserve"> </w:t>
      </w:r>
      <w:r>
        <w:rPr>
          <w:rFonts w:hAnsi="Courier New" w:cs="Courier New"/>
          <w:sz w:val="20"/>
          <w:szCs w:val="20"/>
        </w:rPr>
        <w:t>(L</w:t>
      </w:r>
      <w:r w:rsidRPr="00E537D7">
        <w:rPr>
          <w:rFonts w:hAnsi="Courier New" w:cs="Courier New"/>
          <w:sz w:val="20"/>
          <w:szCs w:val="20"/>
        </w:rPr>
        <w:t xml:space="preserve">ey 15 </w:t>
      </w:r>
      <w:r>
        <w:rPr>
          <w:rFonts w:hAnsi="Courier New" w:cs="Courier New"/>
          <w:sz w:val="20"/>
          <w:szCs w:val="20"/>
        </w:rPr>
        <w:t>agosto</w:t>
      </w:r>
      <w:r w:rsidRPr="00E537D7">
        <w:rPr>
          <w:rFonts w:hAnsi="Courier New" w:cs="Courier New"/>
          <w:sz w:val="20"/>
          <w:szCs w:val="20"/>
        </w:rPr>
        <w:t xml:space="preserve"> 1873</w:t>
      </w:r>
      <w:r>
        <w:rPr>
          <w:rFonts w:hAnsi="Courier New" w:cs="Courier New"/>
          <w:sz w:val="20"/>
          <w:szCs w:val="20"/>
        </w:rPr>
        <w:t>)</w:t>
      </w: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2124"/>
        <w:jc w:val="both"/>
        <w:rPr>
          <w:rFonts w:hAnsi="Courier New" w:cs="Courier New"/>
          <w:sz w:val="20"/>
          <w:szCs w:val="20"/>
        </w:rPr>
      </w:pP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2124"/>
        <w:jc w:val="both"/>
        <w:rPr>
          <w:rFonts w:hAnsi="Courier New" w:cs="Courier New"/>
          <w:sz w:val="20"/>
          <w:szCs w:val="20"/>
        </w:rPr>
      </w:pPr>
      <w:r w:rsidRPr="00E537D7">
        <w:rPr>
          <w:rFonts w:hAnsi="Courier New" w:cs="Courier New"/>
          <w:sz w:val="20"/>
          <w:szCs w:val="20"/>
        </w:rPr>
        <w:t xml:space="preserve">Los títulos de concesiones administrativas (31, 60 y </w:t>
      </w:r>
      <w:proofErr w:type="spellStart"/>
      <w:r w:rsidRPr="00E537D7">
        <w:rPr>
          <w:rFonts w:hAnsi="Courier New" w:cs="Courier New"/>
          <w:sz w:val="20"/>
          <w:szCs w:val="20"/>
        </w:rPr>
        <w:t>ss</w:t>
      </w:r>
      <w:proofErr w:type="spellEnd"/>
      <w:r w:rsidRPr="00E537D7">
        <w:rPr>
          <w:rFonts w:hAnsi="Courier New" w:cs="Courier New"/>
          <w:sz w:val="20"/>
          <w:szCs w:val="20"/>
        </w:rPr>
        <w:t xml:space="preserve"> RH)</w:t>
      </w:r>
    </w:p>
    <w:p w:rsidR="002F060F" w:rsidRPr="00E537D7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eastAsia="Times New Roman" w:hAnsi="Courier New" w:cs="Courier New"/>
          <w:sz w:val="20"/>
          <w:szCs w:val="20"/>
        </w:rPr>
      </w:pP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hAnsi="Courier New" w:cs="Courier New"/>
          <w:sz w:val="20"/>
          <w:szCs w:val="20"/>
        </w:rPr>
      </w:pPr>
      <w:r>
        <w:rPr>
          <w:rFonts w:hAnsi="Courier New" w:cs="Courier New"/>
          <w:b/>
          <w:sz w:val="20"/>
          <w:szCs w:val="20"/>
        </w:rPr>
        <w:t xml:space="preserve">¥ </w:t>
      </w:r>
      <w:r w:rsidRPr="006B1631">
        <w:rPr>
          <w:rFonts w:hAnsi="Courier New" w:cs="Courier New"/>
          <w:b/>
          <w:sz w:val="20"/>
          <w:szCs w:val="20"/>
        </w:rPr>
        <w:t xml:space="preserve">La limitación del art 207 </w:t>
      </w:r>
      <w:r w:rsidR="00D6595A">
        <w:rPr>
          <w:rFonts w:hAnsi="Courier New" w:cs="Courier New"/>
          <w:b/>
          <w:sz w:val="20"/>
          <w:szCs w:val="20"/>
        </w:rPr>
        <w:t>queda</w:t>
      </w:r>
      <w:r w:rsidRPr="006B1631">
        <w:rPr>
          <w:rFonts w:hAnsi="Courier New" w:cs="Courier New"/>
          <w:b/>
          <w:sz w:val="20"/>
          <w:szCs w:val="20"/>
        </w:rPr>
        <w:t xml:space="preserve"> refer</w:t>
      </w:r>
      <w:r w:rsidR="00D6595A">
        <w:rPr>
          <w:rFonts w:hAnsi="Courier New" w:cs="Courier New"/>
          <w:b/>
          <w:sz w:val="20"/>
          <w:szCs w:val="20"/>
        </w:rPr>
        <w:t>ida</w:t>
      </w:r>
      <w:r w:rsidRPr="006B1631">
        <w:rPr>
          <w:rFonts w:hAnsi="Courier New" w:cs="Courier New"/>
          <w:b/>
          <w:sz w:val="20"/>
          <w:szCs w:val="20"/>
        </w:rPr>
        <w:t xml:space="preserve"> </w:t>
      </w:r>
      <w:r>
        <w:rPr>
          <w:rFonts w:hAnsi="Courier New" w:cs="Courier New"/>
          <w:b/>
          <w:sz w:val="20"/>
          <w:szCs w:val="20"/>
        </w:rPr>
        <w:t xml:space="preserve">ahora </w:t>
      </w:r>
      <w:r w:rsidRPr="00E537D7">
        <w:rPr>
          <w:rFonts w:hAnsi="Courier New" w:cs="Courier New"/>
          <w:sz w:val="20"/>
          <w:szCs w:val="20"/>
        </w:rPr>
        <w:t xml:space="preserve">a “los efectos protectores dispensados por el art </w:t>
      </w:r>
      <w:r w:rsidRPr="00AF73B9">
        <w:rPr>
          <w:rFonts w:hAnsi="Courier New" w:cs="Courier New"/>
          <w:sz w:val="20"/>
          <w:szCs w:val="20"/>
        </w:rPr>
        <w:t>34 LH</w:t>
      </w:r>
      <w:r w:rsidRPr="00E537D7">
        <w:rPr>
          <w:rFonts w:hAnsi="Courier New" w:cs="Courier New"/>
          <w:sz w:val="20"/>
          <w:szCs w:val="20"/>
        </w:rPr>
        <w:t>“</w:t>
      </w:r>
      <w:r>
        <w:rPr>
          <w:rFonts w:hAnsi="Courier New" w:cs="Courier New"/>
          <w:sz w:val="20"/>
          <w:szCs w:val="20"/>
        </w:rPr>
        <w:t xml:space="preserve">, </w:t>
      </w:r>
      <w:r w:rsidRPr="00AF73B9">
        <w:rPr>
          <w:rFonts w:hAnsi="Courier New" w:cs="Courier New"/>
          <w:sz w:val="20"/>
          <w:szCs w:val="20"/>
        </w:rPr>
        <w:t xml:space="preserve">por lo que </w:t>
      </w:r>
      <w:r w:rsidR="00D6595A" w:rsidRPr="00AF73B9">
        <w:rPr>
          <w:rFonts w:hAnsi="Courier New" w:cs="Courier New"/>
          <w:sz w:val="20"/>
          <w:szCs w:val="20"/>
        </w:rPr>
        <w:t>YA NO SE PUEDE DECIR QUE SE PROTEJA AL INMATRICULANTE</w:t>
      </w:r>
      <w:r w:rsidRPr="00AF73B9">
        <w:rPr>
          <w:rFonts w:hAnsi="Courier New" w:cs="Courier New"/>
          <w:sz w:val="20"/>
          <w:szCs w:val="20"/>
        </w:rPr>
        <w:t xml:space="preserve"> (PÉREZ RAMOS).</w:t>
      </w:r>
    </w:p>
    <w:p w:rsidR="002F060F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hAnsi="Courier New" w:cs="Courier New"/>
          <w:sz w:val="20"/>
          <w:szCs w:val="20"/>
        </w:rPr>
      </w:pPr>
    </w:p>
    <w:p w:rsidR="00D6595A" w:rsidRPr="00E45CC1" w:rsidRDefault="00D6595A" w:rsidP="00D6595A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2124"/>
        <w:jc w:val="both"/>
        <w:rPr>
          <w:rFonts w:hAnsi="Courier New" w:cs="Courier New"/>
          <w:b/>
          <w:i/>
          <w:color w:val="808080"/>
          <w:sz w:val="20"/>
          <w:szCs w:val="20"/>
        </w:rPr>
      </w:pPr>
      <w:r w:rsidRPr="00E45CC1">
        <w:rPr>
          <w:rFonts w:hAnsi="Courier New" w:cs="Courier New"/>
          <w:b/>
          <w:i/>
          <w:color w:val="808080"/>
          <w:sz w:val="20"/>
          <w:szCs w:val="20"/>
        </w:rPr>
        <w:t xml:space="preserve">Si la inmatriculación de la finca se hubiera practicado con arreglo a lo establecido en... el artículo </w:t>
      </w:r>
      <w:r w:rsidRPr="00E45CC1">
        <w:rPr>
          <w:rFonts w:hAnsi="Courier New" w:cs="Courier New"/>
          <w:b/>
          <w:i/>
          <w:color w:val="808080"/>
          <w:sz w:val="20"/>
          <w:szCs w:val="20"/>
          <w:u w:val="single"/>
        </w:rPr>
        <w:t>205</w:t>
      </w:r>
      <w:r w:rsidRPr="00E45CC1">
        <w:rPr>
          <w:rFonts w:hAnsi="Courier New" w:cs="Courier New"/>
          <w:b/>
          <w:i/>
          <w:color w:val="808080"/>
          <w:sz w:val="20"/>
          <w:szCs w:val="20"/>
        </w:rPr>
        <w:t xml:space="preserve"> y el artículo </w:t>
      </w:r>
      <w:r w:rsidRPr="00E45CC1">
        <w:rPr>
          <w:rFonts w:hAnsi="Courier New" w:cs="Courier New"/>
          <w:b/>
          <w:i/>
          <w:color w:val="808080"/>
          <w:sz w:val="20"/>
          <w:szCs w:val="20"/>
          <w:u w:val="single"/>
        </w:rPr>
        <w:t>206</w:t>
      </w:r>
      <w:r w:rsidRPr="00E45CC1">
        <w:rPr>
          <w:rFonts w:hAnsi="Courier New" w:cs="Courier New"/>
          <w:b/>
          <w:i/>
          <w:color w:val="808080"/>
          <w:sz w:val="20"/>
          <w:szCs w:val="20"/>
        </w:rPr>
        <w:t>, los efectos protectores dispensados por el artículo 34 de esta Ley no se producirán hasta transcurridos dos años desde su fecha...</w:t>
      </w:r>
    </w:p>
    <w:p w:rsidR="00D6595A" w:rsidRDefault="00D6595A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hAnsi="Courier New" w:cs="Courier New"/>
          <w:sz w:val="20"/>
          <w:szCs w:val="20"/>
        </w:rPr>
      </w:pPr>
    </w:p>
    <w:p w:rsidR="002F060F" w:rsidRPr="00AF73B9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1416"/>
        <w:jc w:val="both"/>
        <w:rPr>
          <w:rFonts w:hAnsi="Courier New" w:cs="Courier New"/>
          <w:sz w:val="20"/>
          <w:szCs w:val="20"/>
        </w:rPr>
      </w:pPr>
      <w:r w:rsidRPr="00AF73B9">
        <w:rPr>
          <w:rFonts w:hAnsi="Courier New" w:cs="Courier New"/>
          <w:sz w:val="20"/>
          <w:szCs w:val="20"/>
        </w:rPr>
        <w:t xml:space="preserve">El nuevo art 207 LH parece optar por la tesis monista, superando la doctrina “dualista” de las importantísimas STS 5 de marzo y 7 septiembre 2007. Estas sentencias, unificando doctrina en materia de doble venta, distinguir entre la protección al tercero del 34 LH (cuando la finca SI estaba inscrita en el RP a nombre del doble vendedor) y del 32 LH (cuando la finca objeto de la doble venta NO estuviese inscrita en el RP, el </w:t>
      </w:r>
      <w:proofErr w:type="spellStart"/>
      <w:r w:rsidRPr="00AF73B9">
        <w:rPr>
          <w:rFonts w:hAnsi="Courier New" w:cs="Courier New"/>
          <w:sz w:val="20"/>
          <w:szCs w:val="20"/>
        </w:rPr>
        <w:t>inmatriculante</w:t>
      </w:r>
      <w:proofErr w:type="spellEnd"/>
      <w:r w:rsidRPr="00AF73B9">
        <w:rPr>
          <w:rFonts w:hAnsi="Courier New" w:cs="Courier New"/>
          <w:sz w:val="20"/>
          <w:szCs w:val="20"/>
        </w:rPr>
        <w:t xml:space="preserve"> quedaría protegido transcurridos dos años). </w:t>
      </w:r>
    </w:p>
    <w:p w:rsidR="002F060F" w:rsidRPr="00AF73B9" w:rsidRDefault="002F060F" w:rsidP="002F060F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ind w:left="708"/>
        <w:jc w:val="both"/>
        <w:rPr>
          <w:rFonts w:hAnsi="Courier New" w:cs="Courier New"/>
          <w:sz w:val="20"/>
          <w:szCs w:val="20"/>
        </w:rPr>
      </w:pPr>
    </w:p>
    <w:p w:rsidR="00D6595A" w:rsidRDefault="00D6595A" w:rsidP="00437849">
      <w:pPr>
        <w:pStyle w:val="tema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1"/>
        </w:tabs>
        <w:spacing w:line="276" w:lineRule="auto"/>
        <w:jc w:val="both"/>
        <w:rPr>
          <w:rFonts w:hAnsi="Courier New" w:cs="Courier New"/>
          <w:sz w:val="20"/>
          <w:szCs w:val="20"/>
          <w:lang w:val="es-ES"/>
        </w:rPr>
      </w:pPr>
      <w:r>
        <w:rPr>
          <w:rFonts w:hAnsi="Courier New" w:cs="Courier New"/>
          <w:sz w:val="20"/>
          <w:szCs w:val="20"/>
          <w:lang w:val="es-ES"/>
        </w:rPr>
        <w:t xml:space="preserve">Ahora se regulan por separado el expediente para rectificar la descripción/superficie o </w:t>
      </w:r>
      <w:r w:rsidRPr="00437849">
        <w:rPr>
          <w:rFonts w:hAnsi="Courier New" w:cs="Courier New"/>
          <w:sz w:val="20"/>
          <w:szCs w:val="20"/>
        </w:rPr>
        <w:t>linderos</w:t>
      </w:r>
      <w:r>
        <w:rPr>
          <w:rFonts w:hAnsi="Courier New" w:cs="Courier New"/>
          <w:sz w:val="20"/>
          <w:szCs w:val="20"/>
          <w:lang w:val="es-ES"/>
        </w:rPr>
        <w:t xml:space="preserve"> de una finca y los previstos para su inmatriculación, sin perjuicio </w:t>
      </w:r>
      <w:r w:rsidR="00437849">
        <w:rPr>
          <w:rFonts w:hAnsi="Courier New" w:cs="Courier New"/>
          <w:sz w:val="20"/>
          <w:szCs w:val="20"/>
          <w:lang w:val="es-ES"/>
        </w:rPr>
        <w:t xml:space="preserve">“en su caso” </w:t>
      </w:r>
      <w:r>
        <w:rPr>
          <w:rFonts w:hAnsi="Courier New" w:cs="Courier New"/>
          <w:sz w:val="20"/>
          <w:szCs w:val="20"/>
          <w:lang w:val="es-ES"/>
        </w:rPr>
        <w:t>de su acumulación</w:t>
      </w:r>
      <w:r w:rsidR="00437849">
        <w:rPr>
          <w:rFonts w:hAnsi="Courier New" w:cs="Courier New"/>
          <w:sz w:val="20"/>
          <w:szCs w:val="20"/>
          <w:lang w:val="es-ES"/>
        </w:rPr>
        <w:t>.</w:t>
      </w:r>
    </w:p>
    <w:p w:rsidR="00D6595A" w:rsidRDefault="00D6595A" w:rsidP="002F060F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D6595A" w:rsidRDefault="00D6595A" w:rsidP="00D6595A">
      <w:pPr>
        <w:ind w:right="418"/>
        <w:jc w:val="both"/>
        <w:rPr>
          <w:rFonts w:ascii="Courier New" w:hAnsi="Courier New" w:cs="Courier New"/>
          <w:b/>
          <w:sz w:val="20"/>
          <w:szCs w:val="20"/>
          <w:lang w:val="es-ES"/>
        </w:rPr>
      </w:pPr>
    </w:p>
    <w:p w:rsidR="002F060F" w:rsidRPr="00E45CC1" w:rsidRDefault="00D6595A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D6595A">
        <w:rPr>
          <w:rFonts w:ascii="Courier New" w:hAnsi="Courier New" w:cs="Courier New"/>
          <w:b/>
          <w:sz w:val="20"/>
          <w:szCs w:val="20"/>
          <w:lang w:val="es-ES"/>
        </w:rPr>
        <w:t>198 LH</w:t>
      </w:r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="002F060F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La concordancia entre el Registro de la Propiedad y la realidad física y jurídica </w:t>
      </w:r>
      <w:proofErr w:type="spellStart"/>
      <w:r w:rsidR="002F060F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extrarregistral</w:t>
      </w:r>
      <w:proofErr w:type="spellEnd"/>
      <w:r w:rsidR="002F060F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se podrá llevar a efecto mediante alguno de los siguientes procedimientos:</w:t>
      </w:r>
    </w:p>
    <w:p w:rsidR="00D6595A" w:rsidRPr="00E45CC1" w:rsidRDefault="00D6595A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D6595A" w:rsidRPr="00E45CC1" w:rsidRDefault="002F060F" w:rsidP="00437849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3.º La rectificación de su descripción.</w:t>
      </w:r>
      <w:r w:rsidR="00D6595A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..</w:t>
      </w:r>
    </w:p>
    <w:p w:rsidR="002F060F" w:rsidRPr="00E45CC1" w:rsidRDefault="002F060F" w:rsidP="00437849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5.º La inmatriculación de fincas que no estén inscritas a favor de persona alguna.</w:t>
      </w:r>
    </w:p>
    <w:p w:rsidR="002F060F" w:rsidRPr="00E45CC1" w:rsidRDefault="002F060F" w:rsidP="00437849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6.º Las operaciones registrales sobre bienes de las Administraciones Públicas, en virtud de certificación administrativa.</w:t>
      </w:r>
    </w:p>
    <w:p w:rsidR="00D6595A" w:rsidRPr="00E45CC1" w:rsidRDefault="00D6595A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F060F" w:rsidRPr="00E45CC1" w:rsidRDefault="002F060F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Los procedimientos contenidos en este Título podrán acumularse cuando su finalidad sea compatible y recaiga en el mismo funcionario la competencia para su tramitación, debiendo integrarse coetáneamente, si es posible, o sucesivamente en otro caso, la totalidad de los trámites exigidos para cada uno de ellos.</w:t>
      </w:r>
    </w:p>
    <w:p w:rsidR="00D6595A" w:rsidRPr="00E45CC1" w:rsidRDefault="00D6595A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F060F" w:rsidRPr="00E45CC1" w:rsidRDefault="002F060F" w:rsidP="00D6595A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La desestimación de la pretensión del promotor en cualquiera de los expedientes regulados en este Título no impedirá la incoación de un proceso jurisdiccional posterior con el mismo objeto que aquél.</w:t>
      </w:r>
    </w:p>
    <w:p w:rsidR="002F060F" w:rsidRDefault="002F060F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2F060F" w:rsidRDefault="002F060F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2F060F" w:rsidRDefault="002F060F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2F060F" w:rsidRPr="00437849" w:rsidRDefault="002F060F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437849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EXAMEN DEL ARTÍCULO 205 DE LA LEY HIPOTECARIA</w:t>
      </w:r>
    </w:p>
    <w:p w:rsidR="002F060F" w:rsidRPr="002F060F" w:rsidRDefault="002F060F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D15387" w:rsidRPr="002F060F" w:rsidRDefault="00D15387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206250" w:rsidRPr="00E45CC1" w:rsidRDefault="00437849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Serán inscribibles, sin necesidad de la previa inscripción y siempre que no estuvieren inscritos los mismos derechos a favor de otra persona, los títulos públicos </w:t>
      </w:r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TRASLATIVOS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otorgados por personas que </w:t>
      </w:r>
      <w:r w:rsidR="007A42A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ACREDITEN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haber adquirido la propiedad de la finca al menos </w:t>
      </w:r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UN AÑO ANTES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de dicho otorgamiento también mediante título </w:t>
      </w:r>
      <w:r w:rsidR="0040175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público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, siempre que exista identidad en </w:t>
      </w:r>
    </w:p>
    <w:p w:rsidR="00206250" w:rsidRPr="00E45CC1" w:rsidRDefault="00206250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06250" w:rsidRPr="00E45CC1" w:rsidRDefault="00437849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la descripción de la finca contenida en </w:t>
      </w:r>
      <w:r w:rsidR="007E0A72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AMBOS TÍTULOS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 juicio del Registrador y, </w:t>
      </w:r>
      <w:r w:rsidR="00DD7202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EN TODO CASO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, en </w:t>
      </w:r>
    </w:p>
    <w:p w:rsidR="00206250" w:rsidRPr="00E45CC1" w:rsidRDefault="00206250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437849" w:rsidRPr="00E45CC1" w:rsidRDefault="00437849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la descripción contenida en el título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inmatriculador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y la certificación catastral descriptiva y gráfica que necesariamente debe ser aportada al efecto.</w:t>
      </w:r>
    </w:p>
    <w:p w:rsidR="00437849" w:rsidRPr="00E45CC1" w:rsidRDefault="00437849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06250" w:rsidRPr="00E45CC1" w:rsidRDefault="00437849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El Registrador deberá </w:t>
      </w:r>
    </w:p>
    <w:p w:rsidR="00206250" w:rsidRPr="00E45CC1" w:rsidRDefault="00206250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06250" w:rsidRPr="00E45CC1" w:rsidRDefault="00437849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verificar la falta de previa inscripción de la finca a favor de persona alguna y </w:t>
      </w:r>
    </w:p>
    <w:p w:rsidR="00206250" w:rsidRPr="00E45CC1" w:rsidRDefault="00206250" w:rsidP="00206250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</w:p>
    <w:p w:rsidR="00437849" w:rsidRPr="00E45CC1" w:rsidRDefault="00437849" w:rsidP="00206250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no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14"/>
          <w:szCs w:val="20"/>
          <w:lang w:val="es-ES"/>
        </w:rPr>
        <w:t xml:space="preserve">habrá de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tener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dudas fundadas sobre la coincidencia total o parcial de la finca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cuya inmatriculación se pretende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con otra u otras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que hubiesen sido previamente </w:t>
      </w:r>
      <w:proofErr w:type="spellStart"/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inmatriculadas</w:t>
      </w:r>
      <w:proofErr w:type="spellEnd"/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.</w:t>
      </w:r>
    </w:p>
    <w:p w:rsidR="00206250" w:rsidRPr="00E45CC1" w:rsidRDefault="00206250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437849" w:rsidRPr="00E45CC1" w:rsidRDefault="00437849" w:rsidP="00206250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Si el Registrador tuviera dudas fundadas sobre la coincidencia total o parcial de la finca cuya inmatriculación se pretende con otra u otras </w:t>
      </w:r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de dominio público que no estén </w:t>
      </w:r>
      <w:proofErr w:type="spellStart"/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inmatriculadas</w:t>
      </w:r>
      <w:proofErr w:type="spellEnd"/>
      <w:r w:rsidR="00206250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pero que aparezcan recogidas en la información territorial asociada facilitada por las Administraciones Públicas, notificará tal circunstancia a la entidad u órgano competente, acompañando la certificación catastral descriptiva y gráfica de la finca que se pretende </w:t>
      </w:r>
      <w:proofErr w:type="spellStart"/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inmatricular</w:t>
      </w:r>
      <w:proofErr w:type="spellEnd"/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con el fin de que, por dicha entidad, se remita el informe correspondiente, dentro del plazo de un mes a contar desde el día siguiente a la recepción de la notificación.</w:t>
      </w:r>
    </w:p>
    <w:p w:rsidR="00206250" w:rsidRPr="00E45CC1" w:rsidRDefault="00206250" w:rsidP="00206250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</w:p>
    <w:p w:rsidR="00437849" w:rsidRPr="00E45CC1" w:rsidRDefault="00437849" w:rsidP="00206250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Si la Administración manifestase su oposición a la inmatriculación o, no remitiendo su informe dentro de plazo, el Registrador conservase dudas sobre la existencia de una posible invasión del dominio público, denegará la inmatriculación pretendida.</w:t>
      </w:r>
    </w:p>
    <w:p w:rsidR="00206250" w:rsidRPr="00E45CC1" w:rsidRDefault="00206250" w:rsidP="00437849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06250" w:rsidRPr="00E45CC1" w:rsidRDefault="00437849" w:rsidP="00437849">
      <w:pPr>
        <w:ind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En caso de calificación </w:t>
      </w:r>
      <w:proofErr w:type="spellStart"/>
      <w:r w:rsidR="00401756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positiva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por</w:t>
      </w:r>
      <w:proofErr w:type="spellEnd"/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el Registrador, éste procederá a </w:t>
      </w:r>
    </w:p>
    <w:p w:rsidR="00206250" w:rsidRPr="00E45CC1" w:rsidRDefault="00206250" w:rsidP="00437849">
      <w:pPr>
        <w:ind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</w:p>
    <w:p w:rsidR="00206250" w:rsidRPr="00E45CC1" w:rsidRDefault="00437849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extender la inscripción del derecho de dominio, </w:t>
      </w:r>
    </w:p>
    <w:p w:rsidR="00206250" w:rsidRPr="00E45CC1" w:rsidRDefault="00206250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206250" w:rsidRPr="00E45CC1" w:rsidRDefault="00437849" w:rsidP="00206250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notificará la inmatriculación realizada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, en la forma prevenida reglamentariamente,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al poseedor de hecho, a los titulares de cargas</w:t>
      </w:r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/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derechos</w:t>
      </w:r>
      <w:r w:rsidR="0020625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/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acciones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que puedan gravar la finca y fueran conocidos,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 los propietarios de las fincas registrales y catastrales colindantes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en los domicilios que consten en el Registro y, caso de ser distintos, en cualesquiera otros que resulten de los documentos aportados, así como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al Ayuntamiento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en que esté situada la finca. Asimismo </w:t>
      </w:r>
    </w:p>
    <w:p w:rsidR="00206250" w:rsidRPr="00E45CC1" w:rsidRDefault="00206250" w:rsidP="0020625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437849" w:rsidRPr="00E45CC1" w:rsidRDefault="00437849" w:rsidP="00206250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ordenará la publicación del edicto y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utilizará el servicio en línea para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creación de alertas específicas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a que refiere la regla séptima del apartado 1 del artículo 203.</w:t>
      </w:r>
    </w:p>
    <w:p w:rsidR="00206250" w:rsidRDefault="00206250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206250" w:rsidRDefault="00206250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01756" w:rsidRDefault="00401756" w:rsidP="00401756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“TRASLATIVOS” 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La </w:t>
      </w:r>
      <w:r>
        <w:rPr>
          <w:rFonts w:ascii="Courier New" w:hAnsi="Courier New" w:cs="Courier New"/>
          <w:sz w:val="20"/>
          <w:szCs w:val="20"/>
          <w:lang w:val="es-ES"/>
        </w:rPr>
        <w:t>R</w:t>
      </w:r>
      <w:r w:rsidRPr="002F060F">
        <w:rPr>
          <w:rFonts w:ascii="Courier New" w:hAnsi="Courier New" w:cs="Courier New"/>
          <w:sz w:val="20"/>
          <w:szCs w:val="20"/>
          <w:lang w:val="es-ES"/>
        </w:rPr>
        <w:t>DG</w:t>
      </w:r>
      <w:r>
        <w:rPr>
          <w:rFonts w:ascii="Courier New" w:hAnsi="Courier New" w:cs="Courier New"/>
          <w:sz w:val="20"/>
          <w:szCs w:val="20"/>
          <w:lang w:val="es-ES"/>
        </w:rPr>
        <w:t>RN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>
        <w:rPr>
          <w:rFonts w:ascii="Courier New" w:hAnsi="Courier New" w:cs="Courier New"/>
          <w:sz w:val="20"/>
          <w:szCs w:val="20"/>
          <w:lang w:val="es-ES"/>
        </w:rPr>
        <w:t xml:space="preserve">1 julio 2016 </w:t>
      </w:r>
      <w:r w:rsidRPr="002F060F">
        <w:rPr>
          <w:rFonts w:ascii="Courier New" w:hAnsi="Courier New" w:cs="Courier New"/>
          <w:sz w:val="20"/>
          <w:szCs w:val="20"/>
          <w:lang w:val="es-ES"/>
        </w:rPr>
        <w:t>admit</w:t>
      </w:r>
      <w:r>
        <w:rPr>
          <w:rFonts w:ascii="Courier New" w:hAnsi="Courier New" w:cs="Courier New"/>
          <w:sz w:val="20"/>
          <w:szCs w:val="20"/>
          <w:lang w:val="es-ES"/>
        </w:rPr>
        <w:t>e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 el carácter de título </w:t>
      </w:r>
      <w:proofErr w:type="spellStart"/>
      <w:r w:rsidRPr="002F060F">
        <w:rPr>
          <w:rFonts w:ascii="Courier New" w:hAnsi="Courier New" w:cs="Courier New"/>
          <w:sz w:val="20"/>
          <w:szCs w:val="20"/>
          <w:lang w:val="es-ES"/>
        </w:rPr>
        <w:t>inmatriculador</w:t>
      </w:r>
      <w:proofErr w:type="spellEnd"/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 de la extinción de condominio </w:t>
      </w:r>
      <w:r>
        <w:rPr>
          <w:rFonts w:ascii="Courier New" w:hAnsi="Courier New" w:cs="Courier New"/>
          <w:sz w:val="20"/>
          <w:szCs w:val="20"/>
          <w:lang w:val="es-ES"/>
        </w:rPr>
        <w:t>(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en, entre otras, su resolución de 1 de julio de 2016. </w:t>
      </w:r>
    </w:p>
    <w:p w:rsidR="00401756" w:rsidRDefault="00401756" w:rsidP="00401756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01756" w:rsidRDefault="00401756" w:rsidP="00401756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En cualquier caso l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a DG es contraria a la creación artificial de títulos con el objetivo de producir una inmatriculación, extremo </w:t>
      </w:r>
      <w:r>
        <w:rPr>
          <w:rFonts w:ascii="Courier New" w:hAnsi="Courier New" w:cs="Courier New"/>
          <w:sz w:val="20"/>
          <w:szCs w:val="20"/>
          <w:lang w:val="es-ES"/>
        </w:rPr>
        <w:t xml:space="preserve">sujeto a la calificación del 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registrador con apoyo en </w:t>
      </w:r>
      <w:r>
        <w:rPr>
          <w:rFonts w:ascii="Courier New" w:hAnsi="Courier New" w:cs="Courier New"/>
          <w:sz w:val="20"/>
          <w:szCs w:val="20"/>
          <w:lang w:val="es-ES"/>
        </w:rPr>
        <w:t>las circunstancias del caso</w:t>
      </w:r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 (ausencia de función económica, bajo coste fiscal, </w:t>
      </w:r>
      <w:proofErr w:type="spellStart"/>
      <w:r w:rsidRPr="002F060F">
        <w:rPr>
          <w:rFonts w:ascii="Courier New" w:hAnsi="Courier New" w:cs="Courier New"/>
          <w:sz w:val="20"/>
          <w:szCs w:val="20"/>
          <w:lang w:val="es-ES"/>
        </w:rPr>
        <w:t>etc</w:t>
      </w:r>
      <w:proofErr w:type="spellEnd"/>
      <w:r w:rsidRPr="002F060F">
        <w:rPr>
          <w:rFonts w:ascii="Courier New" w:hAnsi="Courier New" w:cs="Courier New"/>
          <w:sz w:val="20"/>
          <w:szCs w:val="20"/>
          <w:lang w:val="es-ES"/>
        </w:rPr>
        <w:t xml:space="preserve">) </w:t>
      </w:r>
    </w:p>
    <w:p w:rsidR="00401756" w:rsidRDefault="00401756" w:rsidP="00401756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01756" w:rsidRDefault="00401756" w:rsidP="00401756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“ACREDITEN” La RDGRN 19 noviembre 2015 admite que </w:t>
      </w:r>
      <w:r w:rsidRPr="007A42A6">
        <w:rPr>
          <w:rFonts w:ascii="Courier New" w:hAnsi="Courier New" w:cs="Courier New"/>
          <w:sz w:val="20"/>
          <w:szCs w:val="20"/>
          <w:lang w:val="es-ES"/>
        </w:rPr>
        <w:t xml:space="preserve">se acredite el hecho y momento de </w:t>
      </w:r>
      <w:r>
        <w:rPr>
          <w:rFonts w:ascii="Courier New" w:hAnsi="Courier New" w:cs="Courier New"/>
          <w:sz w:val="20"/>
          <w:szCs w:val="20"/>
          <w:lang w:val="es-ES"/>
        </w:rPr>
        <w:t>l</w:t>
      </w:r>
      <w:r w:rsidRPr="007A42A6">
        <w:rPr>
          <w:rFonts w:ascii="Courier New" w:hAnsi="Courier New" w:cs="Courier New"/>
          <w:sz w:val="20"/>
          <w:szCs w:val="20"/>
          <w:lang w:val="es-ES"/>
        </w:rPr>
        <w:t>a adquisición anterior</w:t>
      </w:r>
      <w:r>
        <w:rPr>
          <w:rFonts w:ascii="Courier New" w:hAnsi="Courier New" w:cs="Courier New"/>
          <w:sz w:val="20"/>
          <w:szCs w:val="20"/>
          <w:lang w:val="es-ES"/>
        </w:rPr>
        <w:t xml:space="preserve"> mediante:</w:t>
      </w:r>
    </w:p>
    <w:p w:rsidR="00401756" w:rsidRDefault="00401756" w:rsidP="00401756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01756" w:rsidRDefault="00401756" w:rsidP="00401756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sentencia declarativa (</w:t>
      </w:r>
      <w:r w:rsidRPr="007A42A6">
        <w:rPr>
          <w:rFonts w:ascii="Courier New" w:hAnsi="Courier New" w:cs="Courier New"/>
          <w:sz w:val="20"/>
          <w:szCs w:val="20"/>
          <w:lang w:val="es-ES"/>
        </w:rPr>
        <w:t>título público no adquisitivo sino meramente declarativo</w:t>
      </w:r>
      <w:r>
        <w:rPr>
          <w:rFonts w:ascii="Courier New" w:hAnsi="Courier New" w:cs="Courier New"/>
          <w:sz w:val="20"/>
          <w:szCs w:val="20"/>
          <w:lang w:val="es-ES"/>
        </w:rPr>
        <w:t>)</w:t>
      </w:r>
    </w:p>
    <w:p w:rsidR="00401756" w:rsidRDefault="00401756" w:rsidP="00401756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</w:p>
    <w:p w:rsidR="00401756" w:rsidRDefault="00401756" w:rsidP="00401756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6D4AE0">
        <w:rPr>
          <w:rFonts w:ascii="Courier New" w:hAnsi="Courier New" w:cs="Courier New"/>
          <w:b/>
          <w:sz w:val="20"/>
          <w:szCs w:val="20"/>
        </w:rPr>
        <w:t>acta de notoriedad</w:t>
      </w:r>
      <w:r>
        <w:rPr>
          <w:rFonts w:ascii="Courier New" w:hAnsi="Courier New" w:cs="Courier New"/>
          <w:sz w:val="20"/>
          <w:szCs w:val="20"/>
        </w:rPr>
        <w:t xml:space="preserve"> (también </w:t>
      </w:r>
      <w:r w:rsidRPr="007A42A6">
        <w:rPr>
          <w:rFonts w:ascii="Courier New" w:hAnsi="Courier New" w:cs="Courier New"/>
          <w:sz w:val="20"/>
          <w:szCs w:val="20"/>
        </w:rPr>
        <w:t>título público</w:t>
      </w:r>
      <w:r>
        <w:rPr>
          <w:rFonts w:ascii="Courier New" w:hAnsi="Courier New" w:cs="Courier New"/>
          <w:sz w:val="20"/>
          <w:szCs w:val="20"/>
        </w:rPr>
        <w:t xml:space="preserve">) del </w:t>
      </w:r>
      <w:r w:rsidRPr="007A42A6">
        <w:rPr>
          <w:rFonts w:ascii="Courier New" w:hAnsi="Courier New" w:cs="Courier New"/>
          <w:sz w:val="20"/>
          <w:szCs w:val="20"/>
        </w:rPr>
        <w:t>ar</w:t>
      </w:r>
      <w:r>
        <w:rPr>
          <w:rFonts w:ascii="Courier New" w:hAnsi="Courier New" w:cs="Courier New"/>
          <w:sz w:val="20"/>
          <w:szCs w:val="20"/>
        </w:rPr>
        <w:t>t</w:t>
      </w:r>
      <w:r w:rsidRPr="007A42A6">
        <w:rPr>
          <w:rFonts w:ascii="Courier New" w:hAnsi="Courier New" w:cs="Courier New"/>
          <w:sz w:val="20"/>
          <w:szCs w:val="20"/>
        </w:rPr>
        <w:t xml:space="preserve"> 209 Reglamento Notarial.</w:t>
      </w:r>
    </w:p>
    <w:p w:rsidR="00401756" w:rsidRPr="007A42A6" w:rsidRDefault="00401756" w:rsidP="00401756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0D7122" w:rsidRPr="002F060F" w:rsidRDefault="007E0A72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“UN AÑO”... </w:t>
      </w:r>
      <w:r w:rsidR="00810863" w:rsidRPr="002F060F">
        <w:rPr>
          <w:rFonts w:ascii="Courier New" w:hAnsi="Courier New" w:cs="Courier New"/>
          <w:sz w:val="20"/>
          <w:szCs w:val="20"/>
          <w:lang w:val="es-ES"/>
        </w:rPr>
        <w:t>en caso de herencia</w:t>
      </w:r>
      <w:r w:rsidR="000E5F7D" w:rsidRPr="002F060F">
        <w:rPr>
          <w:rFonts w:ascii="Courier New" w:hAnsi="Courier New" w:cs="Courier New"/>
          <w:sz w:val="20"/>
          <w:szCs w:val="20"/>
          <w:lang w:val="es-ES"/>
        </w:rPr>
        <w:t xml:space="preserve"> e</w:t>
      </w:r>
      <w:r>
        <w:rPr>
          <w:rFonts w:ascii="Courier New" w:hAnsi="Courier New" w:cs="Courier New"/>
          <w:sz w:val="20"/>
          <w:szCs w:val="20"/>
          <w:lang w:val="es-ES"/>
        </w:rPr>
        <w:t>ste</w:t>
      </w:r>
      <w:r w:rsidR="000E5F7D" w:rsidRPr="002F060F">
        <w:rPr>
          <w:rFonts w:ascii="Courier New" w:hAnsi="Courier New" w:cs="Courier New"/>
          <w:sz w:val="20"/>
          <w:szCs w:val="20"/>
          <w:lang w:val="es-ES"/>
        </w:rPr>
        <w:t xml:space="preserve"> plazo computa desde el fallecimiento del causante</w:t>
      </w:r>
      <w:r>
        <w:rPr>
          <w:rFonts w:ascii="Courier New" w:hAnsi="Courier New" w:cs="Courier New"/>
          <w:sz w:val="20"/>
          <w:szCs w:val="20"/>
          <w:lang w:val="es-ES"/>
        </w:rPr>
        <w:t xml:space="preserve"> (no desde la escritura de partición, RDGRN)</w:t>
      </w:r>
      <w:r w:rsidR="000E5F7D" w:rsidRPr="002F060F">
        <w:rPr>
          <w:rFonts w:ascii="Courier New" w:hAnsi="Courier New" w:cs="Courier New"/>
          <w:sz w:val="20"/>
          <w:szCs w:val="20"/>
          <w:lang w:val="es-ES"/>
        </w:rPr>
        <w:t>.</w:t>
      </w:r>
      <w:r w:rsidR="00DD3227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B73E90" w:rsidRPr="002F060F" w:rsidRDefault="00B73E90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DD7202" w:rsidRDefault="007E0A72" w:rsidP="00B424E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“AMBOS TÍTULOS</w:t>
      </w:r>
      <w:r w:rsidR="00DD7202">
        <w:rPr>
          <w:rFonts w:ascii="Courier New" w:hAnsi="Courier New" w:cs="Courier New"/>
          <w:sz w:val="20"/>
          <w:szCs w:val="20"/>
          <w:lang w:val="es-ES"/>
        </w:rPr>
        <w:t>... EN TODO CASO”</w:t>
      </w:r>
      <w:r>
        <w:rPr>
          <w:rFonts w:ascii="Courier New" w:hAnsi="Courier New" w:cs="Courier New"/>
          <w:sz w:val="20"/>
          <w:szCs w:val="20"/>
          <w:lang w:val="es-ES"/>
        </w:rPr>
        <w:t xml:space="preserve"> E</w:t>
      </w:r>
      <w:r w:rsidR="00A03DB3" w:rsidRPr="002F060F">
        <w:rPr>
          <w:rFonts w:ascii="Courier New" w:hAnsi="Courier New" w:cs="Courier New"/>
          <w:sz w:val="20"/>
          <w:szCs w:val="20"/>
          <w:lang w:val="es-ES"/>
        </w:rPr>
        <w:t xml:space="preserve">l artículo 205 </w:t>
      </w:r>
      <w:r>
        <w:rPr>
          <w:rFonts w:ascii="Courier New" w:hAnsi="Courier New" w:cs="Courier New"/>
          <w:sz w:val="20"/>
          <w:szCs w:val="20"/>
          <w:lang w:val="es-ES"/>
        </w:rPr>
        <w:t>concede</w:t>
      </w:r>
      <w:r w:rsidR="00A03DB3" w:rsidRPr="002F060F">
        <w:rPr>
          <w:rFonts w:ascii="Courier New" w:hAnsi="Courier New" w:cs="Courier New"/>
          <w:sz w:val="20"/>
          <w:szCs w:val="20"/>
          <w:lang w:val="es-ES"/>
        </w:rPr>
        <w:t xml:space="preserve"> margen de apreciación </w:t>
      </w:r>
      <w:r>
        <w:rPr>
          <w:rFonts w:ascii="Courier New" w:hAnsi="Courier New" w:cs="Courier New"/>
          <w:sz w:val="20"/>
          <w:szCs w:val="20"/>
          <w:lang w:val="es-ES"/>
        </w:rPr>
        <w:t xml:space="preserve">al Registrador a la hora de apreciar la coincidencia entre ambos títulos, NO en cambio </w:t>
      </w:r>
      <w:r w:rsidRPr="007E0A72">
        <w:rPr>
          <w:rFonts w:ascii="Courier New" w:hAnsi="Courier New" w:cs="Courier New"/>
          <w:i/>
          <w:sz w:val="20"/>
          <w:szCs w:val="20"/>
          <w:lang w:val="es-ES"/>
        </w:rPr>
        <w:t>(</w:t>
      </w:r>
      <w:r w:rsidR="00DB4AE6" w:rsidRPr="007E0A72">
        <w:rPr>
          <w:rFonts w:ascii="Courier New" w:hAnsi="Courier New" w:cs="Courier New"/>
          <w:i/>
          <w:sz w:val="20"/>
          <w:szCs w:val="20"/>
          <w:lang w:val="es-ES"/>
        </w:rPr>
        <w:t>"en todo caso"</w:t>
      </w:r>
      <w:r w:rsidRPr="007E0A72">
        <w:rPr>
          <w:rFonts w:ascii="Courier New" w:hAnsi="Courier New" w:cs="Courier New"/>
          <w:i/>
          <w:sz w:val="20"/>
          <w:szCs w:val="20"/>
          <w:lang w:val="es-ES"/>
        </w:rPr>
        <w:t>)</w:t>
      </w:r>
      <w:r w:rsidR="00DB4AE6" w:rsidRPr="002F060F">
        <w:rPr>
          <w:rFonts w:ascii="Courier New" w:hAnsi="Courier New" w:cs="Courier New"/>
          <w:sz w:val="20"/>
          <w:szCs w:val="20"/>
          <w:lang w:val="es-ES"/>
        </w:rPr>
        <w:t xml:space="preserve"> entre el</w:t>
      </w:r>
      <w:r w:rsidR="002B36BA" w:rsidRPr="002F060F">
        <w:rPr>
          <w:rFonts w:ascii="Courier New" w:hAnsi="Courier New" w:cs="Courier New"/>
          <w:sz w:val="20"/>
          <w:szCs w:val="20"/>
          <w:lang w:val="es-ES"/>
        </w:rPr>
        <w:t xml:space="preserve"> título</w:t>
      </w:r>
      <w:r w:rsidR="00DB4AE6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="00DB4AE6" w:rsidRPr="002F060F">
        <w:rPr>
          <w:rFonts w:ascii="Courier New" w:hAnsi="Courier New" w:cs="Courier New"/>
          <w:sz w:val="20"/>
          <w:szCs w:val="20"/>
          <w:lang w:val="es-ES"/>
        </w:rPr>
        <w:t>inmatriculador</w:t>
      </w:r>
      <w:proofErr w:type="spellEnd"/>
      <w:r w:rsidR="00DB4AE6" w:rsidRPr="002F060F">
        <w:rPr>
          <w:rFonts w:ascii="Courier New" w:hAnsi="Courier New" w:cs="Courier New"/>
          <w:sz w:val="20"/>
          <w:szCs w:val="20"/>
          <w:lang w:val="es-ES"/>
        </w:rPr>
        <w:t xml:space="preserve"> y la certificación</w:t>
      </w:r>
      <w:r w:rsidR="002B36BA" w:rsidRPr="002F060F">
        <w:rPr>
          <w:rFonts w:ascii="Courier New" w:hAnsi="Courier New" w:cs="Courier New"/>
          <w:sz w:val="20"/>
          <w:szCs w:val="20"/>
          <w:lang w:val="es-ES"/>
        </w:rPr>
        <w:t xml:space="preserve"> catastral</w:t>
      </w:r>
      <w:r w:rsidR="00DD7202">
        <w:rPr>
          <w:rFonts w:ascii="Courier New" w:hAnsi="Courier New" w:cs="Courier New"/>
          <w:sz w:val="20"/>
          <w:szCs w:val="20"/>
          <w:lang w:val="es-ES"/>
        </w:rPr>
        <w:t xml:space="preserve"> (RDGRN 12 mayo 2016):</w:t>
      </w:r>
      <w:r w:rsidR="00B424E8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DD7202" w:rsidRDefault="00DD7202" w:rsidP="00B424E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DD7202" w:rsidRDefault="006D4AE0" w:rsidP="00DD7202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efectos de inmatriculación NO</w:t>
      </w:r>
      <w:r w:rsidR="00DD7202" w:rsidRPr="00DD7202">
        <w:rPr>
          <w:rFonts w:ascii="Courier New" w:hAnsi="Courier New" w:cs="Courier New"/>
          <w:sz w:val="20"/>
          <w:szCs w:val="20"/>
        </w:rPr>
        <w:t xml:space="preserve"> es admisible margen de diferencia del 10% de superficie</w:t>
      </w:r>
      <w:r w:rsidR="00DD7202">
        <w:rPr>
          <w:rFonts w:ascii="Courier New" w:hAnsi="Courier New" w:cs="Courier New"/>
          <w:sz w:val="20"/>
          <w:szCs w:val="20"/>
        </w:rPr>
        <w:t xml:space="preserve"> (permi</w:t>
      </w:r>
      <w:r>
        <w:rPr>
          <w:rFonts w:ascii="Courier New" w:hAnsi="Courier New" w:cs="Courier New"/>
          <w:sz w:val="20"/>
          <w:szCs w:val="20"/>
        </w:rPr>
        <w:t>tido</w:t>
      </w:r>
      <w:r w:rsidR="00DD7202">
        <w:rPr>
          <w:rFonts w:ascii="Courier New" w:hAnsi="Courier New" w:cs="Courier New"/>
          <w:sz w:val="20"/>
          <w:szCs w:val="20"/>
        </w:rPr>
        <w:t xml:space="preserve"> a otros efectos</w:t>
      </w:r>
      <w:r w:rsidR="00112CD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112CDA">
        <w:rPr>
          <w:rFonts w:ascii="Courier New" w:hAnsi="Courier New" w:cs="Courier New"/>
          <w:sz w:val="20"/>
          <w:szCs w:val="20"/>
        </w:rPr>
        <w:t>vg</w:t>
      </w:r>
      <w:proofErr w:type="spellEnd"/>
      <w:r w:rsidR="00112CDA">
        <w:rPr>
          <w:rFonts w:ascii="Courier New" w:hAnsi="Courier New" w:cs="Courier New"/>
          <w:sz w:val="20"/>
          <w:szCs w:val="20"/>
        </w:rPr>
        <w:t xml:space="preserve"> 201.3 LH</w:t>
      </w:r>
      <w:r w:rsidR="00DD7202">
        <w:rPr>
          <w:rFonts w:ascii="Courier New" w:hAnsi="Courier New" w:cs="Courier New"/>
          <w:sz w:val="20"/>
          <w:szCs w:val="20"/>
        </w:rPr>
        <w:t>) entre el título y el catastro</w:t>
      </w:r>
      <w:r>
        <w:rPr>
          <w:rFonts w:ascii="Courier New" w:hAnsi="Courier New" w:cs="Courier New"/>
          <w:sz w:val="20"/>
          <w:szCs w:val="20"/>
        </w:rPr>
        <w:t>.</w:t>
      </w:r>
    </w:p>
    <w:p w:rsidR="00DD7202" w:rsidRDefault="00DD7202" w:rsidP="00DD7202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</w:p>
    <w:p w:rsidR="00DD7202" w:rsidRDefault="00DD7202" w:rsidP="00DD7202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 w:rsidRPr="00DD7202">
        <w:rPr>
          <w:rFonts w:ascii="Courier New" w:hAnsi="Courier New" w:cs="Courier New"/>
          <w:sz w:val="20"/>
          <w:szCs w:val="20"/>
        </w:rPr>
        <w:t xml:space="preserve">identidad </w:t>
      </w:r>
      <w:r>
        <w:rPr>
          <w:rFonts w:ascii="Courier New" w:hAnsi="Courier New" w:cs="Courier New"/>
          <w:sz w:val="20"/>
          <w:szCs w:val="20"/>
        </w:rPr>
        <w:t xml:space="preserve">requerida “en todo caso” </w:t>
      </w:r>
      <w:r w:rsidRPr="00DD7202">
        <w:rPr>
          <w:rFonts w:ascii="Courier New" w:hAnsi="Courier New" w:cs="Courier New"/>
          <w:sz w:val="20"/>
          <w:szCs w:val="20"/>
        </w:rPr>
        <w:t>ha de referirse a la ubicación y delimitación geográfica perimetral de la finca, no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D7202">
        <w:rPr>
          <w:rFonts w:ascii="Courier New" w:hAnsi="Courier New" w:cs="Courier New"/>
          <w:sz w:val="20"/>
          <w:szCs w:val="20"/>
        </w:rPr>
        <w:t xml:space="preserve">a </w:t>
      </w:r>
      <w:r>
        <w:rPr>
          <w:rFonts w:ascii="Courier New" w:hAnsi="Courier New" w:cs="Courier New"/>
          <w:sz w:val="20"/>
          <w:szCs w:val="20"/>
        </w:rPr>
        <w:t>las</w:t>
      </w:r>
      <w:r w:rsidRPr="00DD7202">
        <w:rPr>
          <w:rFonts w:ascii="Courier New" w:hAnsi="Courier New" w:cs="Courier New"/>
          <w:sz w:val="20"/>
          <w:szCs w:val="20"/>
        </w:rPr>
        <w:t xml:space="preserve"> edificaciones ubicados en </w:t>
      </w:r>
      <w:r>
        <w:rPr>
          <w:rFonts w:ascii="Courier New" w:hAnsi="Courier New" w:cs="Courier New"/>
          <w:sz w:val="20"/>
          <w:szCs w:val="20"/>
        </w:rPr>
        <w:t>su</w:t>
      </w:r>
      <w:r w:rsidRPr="00DD7202">
        <w:rPr>
          <w:rFonts w:ascii="Courier New" w:hAnsi="Courier New" w:cs="Courier New"/>
          <w:sz w:val="20"/>
          <w:szCs w:val="20"/>
        </w:rPr>
        <w:t xml:space="preserve"> interior de ella ni tampoco a la identidad del titular catastral</w:t>
      </w:r>
      <w:r>
        <w:rPr>
          <w:rFonts w:ascii="Courier New" w:hAnsi="Courier New" w:cs="Courier New"/>
          <w:sz w:val="20"/>
          <w:szCs w:val="20"/>
        </w:rPr>
        <w:t xml:space="preserve"> de la finca (ni colindantes).</w:t>
      </w:r>
    </w:p>
    <w:p w:rsidR="007A42A6" w:rsidRDefault="007A42A6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1456E3" w:rsidRDefault="007A42A6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“NOTIFICARÁ LA INMATRICULACIÓN REALIZADA” </w:t>
      </w:r>
      <w:r w:rsidR="00401756">
        <w:rPr>
          <w:rFonts w:ascii="Courier New" w:hAnsi="Courier New" w:cs="Courier New"/>
          <w:sz w:val="20"/>
          <w:szCs w:val="20"/>
          <w:lang w:val="es-ES"/>
        </w:rPr>
        <w:t>Aquí</w:t>
      </w:r>
      <w:r w:rsidR="001456E3" w:rsidRPr="002F060F">
        <w:rPr>
          <w:rFonts w:ascii="Courier New" w:hAnsi="Courier New" w:cs="Courier New"/>
          <w:sz w:val="20"/>
          <w:szCs w:val="20"/>
          <w:lang w:val="es-ES"/>
        </w:rPr>
        <w:t xml:space="preserve"> las notificaciones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 se practican con posterioridad a la inmatriculación</w:t>
      </w:r>
      <w:r w:rsidR="00B85D59" w:rsidRPr="002F060F">
        <w:rPr>
          <w:rFonts w:ascii="Courier New" w:hAnsi="Courier New" w:cs="Courier New"/>
          <w:sz w:val="20"/>
          <w:szCs w:val="20"/>
          <w:lang w:val="es-ES"/>
        </w:rPr>
        <w:t xml:space="preserve"> (salvo a la Administración Pública por razón de la protección del dominio público)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, a diferencia de las notificaciones que </w:t>
      </w:r>
      <w:r w:rsidR="00401756">
        <w:rPr>
          <w:rFonts w:ascii="Courier New" w:hAnsi="Courier New" w:cs="Courier New"/>
          <w:sz w:val="20"/>
          <w:szCs w:val="20"/>
          <w:lang w:val="es-ES"/>
        </w:rPr>
        <w:t>el Notario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 practica </w:t>
      </w:r>
      <w:r w:rsidR="00401756">
        <w:rPr>
          <w:rFonts w:ascii="Courier New" w:hAnsi="Courier New" w:cs="Courier New"/>
          <w:sz w:val="20"/>
          <w:szCs w:val="20"/>
          <w:lang w:val="es-ES"/>
        </w:rPr>
        <w:t>(antes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 de la inmatriculación</w:t>
      </w:r>
      <w:r w:rsidR="00401756">
        <w:rPr>
          <w:rFonts w:ascii="Courier New" w:hAnsi="Courier New" w:cs="Courier New"/>
          <w:sz w:val="20"/>
          <w:szCs w:val="20"/>
          <w:lang w:val="es-ES"/>
        </w:rPr>
        <w:t>)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 durante la tramitación de</w:t>
      </w:r>
      <w:r w:rsidR="00401756">
        <w:rPr>
          <w:rFonts w:ascii="Courier New" w:hAnsi="Courier New" w:cs="Courier New"/>
          <w:sz w:val="20"/>
          <w:szCs w:val="20"/>
          <w:lang w:val="es-ES"/>
        </w:rPr>
        <w:t xml:space="preserve">l 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 xml:space="preserve">expediente de dominio del </w:t>
      </w:r>
      <w:r w:rsidR="00401756">
        <w:rPr>
          <w:rFonts w:ascii="Courier New" w:hAnsi="Courier New" w:cs="Courier New"/>
          <w:sz w:val="20"/>
          <w:szCs w:val="20"/>
          <w:lang w:val="es-ES"/>
        </w:rPr>
        <w:t>2</w:t>
      </w:r>
      <w:r w:rsidR="00BF7B0E" w:rsidRPr="002F060F">
        <w:rPr>
          <w:rFonts w:ascii="Courier New" w:hAnsi="Courier New" w:cs="Courier New"/>
          <w:sz w:val="20"/>
          <w:szCs w:val="20"/>
          <w:lang w:val="es-ES"/>
        </w:rPr>
        <w:t>03 LH.</w:t>
      </w:r>
      <w:r w:rsidR="005C45BC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7A42A6" w:rsidRPr="002F060F" w:rsidRDefault="007A42A6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B424E8" w:rsidRPr="002F060F" w:rsidRDefault="00401756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401756">
        <w:rPr>
          <w:rFonts w:ascii="Courier New" w:hAnsi="Courier New" w:cs="Courier New"/>
          <w:b/>
          <w:sz w:val="20"/>
          <w:szCs w:val="20"/>
          <w:lang w:val="es-ES"/>
        </w:rPr>
        <w:t>EFECTOS</w:t>
      </w:r>
      <w:r w:rsidR="001456E3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>
        <w:rPr>
          <w:rFonts w:ascii="Courier New" w:hAnsi="Courier New" w:cs="Courier New"/>
          <w:sz w:val="20"/>
          <w:szCs w:val="20"/>
          <w:lang w:val="es-ES"/>
        </w:rPr>
        <w:t>L</w:t>
      </w:r>
      <w:r w:rsidR="001456E3" w:rsidRPr="002F060F">
        <w:rPr>
          <w:rFonts w:ascii="Courier New" w:hAnsi="Courier New" w:cs="Courier New"/>
          <w:sz w:val="20"/>
          <w:szCs w:val="20"/>
          <w:lang w:val="es-ES"/>
        </w:rPr>
        <w:t xml:space="preserve">a inmatriculación por la vía del 205 LH </w:t>
      </w:r>
      <w:r>
        <w:rPr>
          <w:rFonts w:ascii="Courier New" w:hAnsi="Courier New" w:cs="Courier New"/>
          <w:sz w:val="20"/>
          <w:szCs w:val="20"/>
          <w:lang w:val="es-ES"/>
        </w:rPr>
        <w:t>queda</w:t>
      </w:r>
      <w:r w:rsidR="001456E3" w:rsidRPr="002F060F">
        <w:rPr>
          <w:rFonts w:ascii="Courier New" w:hAnsi="Courier New" w:cs="Courier New"/>
          <w:sz w:val="20"/>
          <w:szCs w:val="20"/>
          <w:lang w:val="es-ES"/>
        </w:rPr>
        <w:t xml:space="preserve"> sujeta a la limitación de efectos del 207 LH</w:t>
      </w:r>
      <w:r>
        <w:rPr>
          <w:rFonts w:ascii="Courier New" w:hAnsi="Courier New" w:cs="Courier New"/>
          <w:sz w:val="20"/>
          <w:szCs w:val="20"/>
          <w:lang w:val="es-ES"/>
        </w:rPr>
        <w:t xml:space="preserve"> (REMISIÓN)</w:t>
      </w:r>
    </w:p>
    <w:p w:rsidR="003F3EFB" w:rsidRPr="002F060F" w:rsidRDefault="003F3EFB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B424E8" w:rsidRPr="002F060F" w:rsidRDefault="00B424E8" w:rsidP="00D46258">
      <w:pPr>
        <w:ind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72186D" w:rsidRPr="006D4AE0" w:rsidRDefault="0000452B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6D4AE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IDEA DE LAS CERTIFICACIONES DE DOMINIO COMO MEDIO INMATRICULADOR</w:t>
      </w:r>
    </w:p>
    <w:p w:rsidR="006D4AE0" w:rsidRPr="002F060F" w:rsidRDefault="006D4AE0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00452B" w:rsidRPr="002F060F" w:rsidRDefault="0000452B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6D4AE0" w:rsidRDefault="006D4AE0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 un</w:t>
      </w:r>
      <w:r w:rsidR="006F2458" w:rsidRPr="002F060F">
        <w:rPr>
          <w:rFonts w:ascii="Courier New" w:hAnsi="Courier New" w:cs="Courier New"/>
          <w:sz w:val="20"/>
          <w:szCs w:val="20"/>
        </w:rPr>
        <w:t xml:space="preserve"> mecanismo para </w:t>
      </w:r>
      <w:proofErr w:type="spellStart"/>
      <w:r w:rsidR="006F2458" w:rsidRPr="002F060F">
        <w:rPr>
          <w:rFonts w:ascii="Courier New" w:hAnsi="Courier New" w:cs="Courier New"/>
          <w:sz w:val="20"/>
          <w:szCs w:val="20"/>
        </w:rPr>
        <w:t>inmatricular</w:t>
      </w:r>
      <w:proofErr w:type="spellEnd"/>
      <w:r w:rsidR="006F2458" w:rsidRPr="002F060F">
        <w:rPr>
          <w:rFonts w:ascii="Courier New" w:hAnsi="Courier New" w:cs="Courier New"/>
          <w:sz w:val="20"/>
          <w:szCs w:val="20"/>
        </w:rPr>
        <w:t xml:space="preserve"> privilegiado por la especial naturaleza de la Administración</w:t>
      </w:r>
      <w:r w:rsidR="00AF7EEB" w:rsidRPr="002F060F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aparte especiales supuestos (también de certificación </w:t>
      </w:r>
      <w:proofErr w:type="spellStart"/>
      <w:r>
        <w:rPr>
          <w:rFonts w:ascii="Courier New" w:hAnsi="Courier New" w:cs="Courier New"/>
          <w:sz w:val="20"/>
          <w:szCs w:val="20"/>
        </w:rPr>
        <w:t>admtva</w:t>
      </w:r>
      <w:proofErr w:type="spellEnd"/>
      <w:r>
        <w:rPr>
          <w:rFonts w:ascii="Courier New" w:hAnsi="Courier New" w:cs="Courier New"/>
          <w:sz w:val="20"/>
          <w:szCs w:val="20"/>
        </w:rPr>
        <w:t>) d</w:t>
      </w:r>
      <w:r w:rsidR="00AF7EEB" w:rsidRPr="002F060F">
        <w:rPr>
          <w:rFonts w:ascii="Courier New" w:hAnsi="Courier New" w:cs="Courier New"/>
          <w:sz w:val="20"/>
          <w:szCs w:val="20"/>
        </w:rPr>
        <w:t xml:space="preserve">el </w:t>
      </w:r>
      <w:r w:rsidR="00AF7EEB" w:rsidRPr="006D4AE0">
        <w:rPr>
          <w:rFonts w:ascii="Courier New" w:hAnsi="Courier New" w:cs="Courier New"/>
          <w:b/>
          <w:sz w:val="20"/>
          <w:szCs w:val="20"/>
        </w:rPr>
        <w:t>204 LH</w:t>
      </w:r>
    </w:p>
    <w:p w:rsidR="006D4AE0" w:rsidRDefault="006D4AE0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00452B" w:rsidRDefault="006D4AE0" w:rsidP="006D4AE0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Además del procedimiento prevenido en el artículo anterior y la posibilidad de inscripción de los títulos previstos en los artículos 205 y 206, podrá obtenerse también la inmatriculación de fincas en el Registro de la Propiedad en los siguientes supuestos</w:t>
      </w:r>
      <w:r w:rsidRPr="006D4AE0">
        <w:rPr>
          <w:rFonts w:ascii="Courier New" w:hAnsi="Courier New" w:cs="Courier New"/>
          <w:sz w:val="20"/>
          <w:szCs w:val="20"/>
        </w:rPr>
        <w:t>:</w:t>
      </w:r>
      <w:r w:rsidR="00AF7EEB" w:rsidRPr="002F060F">
        <w:rPr>
          <w:rFonts w:ascii="Courier New" w:hAnsi="Courier New" w:cs="Courier New"/>
          <w:sz w:val="20"/>
          <w:szCs w:val="20"/>
        </w:rPr>
        <w:t xml:space="preserve"> </w:t>
      </w:r>
    </w:p>
    <w:p w:rsidR="006D4AE0" w:rsidRDefault="006D4AE0" w:rsidP="006D4AE0">
      <w:pPr>
        <w:ind w:left="708" w:right="418"/>
        <w:jc w:val="both"/>
        <w:rPr>
          <w:rFonts w:ascii="Courier New" w:hAnsi="Courier New" w:cs="Courier New"/>
          <w:sz w:val="20"/>
          <w:szCs w:val="20"/>
        </w:rPr>
      </w:pP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1.º Cuando se trate de fincas aportadas a expedientes de transformación o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equidistribución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urbanística y se pretenda la inmatriculación en virtud de los documentos en cuya virtud se proceda a la inscripción de las fincas de resultado.</w:t>
      </w: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2.º Cuando se trate de fincas de reemplazo resultantes de expedientes de concentración parcelaria.</w:t>
      </w: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3.º Cuando se trate de fincas que hubieran sido objeto de expropiación forzosa.</w:t>
      </w: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6D4AE0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4.º Cuando se trate de fincas de titularidad pública resultantes de procedimientos administrativos de deslinde.</w:t>
      </w:r>
      <w:r w:rsidR="00661B0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..</w:t>
      </w:r>
    </w:p>
    <w:p w:rsidR="006D4AE0" w:rsidRPr="00E45CC1" w:rsidRDefault="006D4AE0" w:rsidP="006D4AE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</w:p>
    <w:p w:rsidR="006F2458" w:rsidRPr="006D4AE0" w:rsidRDefault="006F2458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  <w:r w:rsidRPr="006D4AE0">
        <w:rPr>
          <w:rFonts w:ascii="Courier New" w:hAnsi="Courier New" w:cs="Courier New"/>
          <w:b/>
          <w:sz w:val="20"/>
          <w:szCs w:val="20"/>
        </w:rPr>
        <w:t>206 LH</w:t>
      </w:r>
    </w:p>
    <w:p w:rsidR="006D4AE0" w:rsidRDefault="006D4AE0" w:rsidP="00D46258">
      <w:pPr>
        <w:ind w:right="418"/>
        <w:jc w:val="both"/>
        <w:rPr>
          <w:rFonts w:ascii="Courier New" w:hAnsi="Courier New" w:cs="Courier New"/>
          <w:i/>
          <w:sz w:val="20"/>
          <w:szCs w:val="20"/>
        </w:rPr>
      </w:pPr>
    </w:p>
    <w:p w:rsidR="003830F6" w:rsidRPr="00E45CC1" w:rsidRDefault="006D4AE0" w:rsidP="006D4AE0">
      <w:pPr>
        <w:ind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6D4AE0">
        <w:rPr>
          <w:rFonts w:ascii="Courier New" w:hAnsi="Courier New" w:cs="Courier New"/>
          <w:i/>
          <w:sz w:val="20"/>
          <w:szCs w:val="20"/>
          <w:lang w:val="es-ES"/>
        </w:rPr>
        <w:t xml:space="preserve">1.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Las Administraciones Públicas y las entidades de Derecho público con personalidad jurídica propia vinculadas o dependientes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de cualquiera de aquéllas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podrán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inmatricular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los bienes de su titularidad,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mediante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la aportación de </w:t>
      </w:r>
    </w:p>
    <w:p w:rsidR="003830F6" w:rsidRPr="00E45CC1" w:rsidRDefault="003830F6" w:rsidP="006D4AE0">
      <w:pPr>
        <w:ind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su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</w:t>
      </w:r>
      <w:r w:rsidR="003830F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TÍTULO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escrito de dominio, cuando dispongan de él, junto con</w:t>
      </w:r>
    </w:p>
    <w:p w:rsidR="003830F6" w:rsidRPr="00E45CC1" w:rsidRDefault="003830F6" w:rsidP="003830F6">
      <w:pPr>
        <w:ind w:left="708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</w:p>
    <w:p w:rsidR="003830F6" w:rsidRPr="00E45CC1" w:rsidRDefault="003830F6" w:rsidP="003830F6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CERTIFICACIÓN</w:t>
      </w:r>
      <w:r w:rsidR="006D4AE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administrativa </w:t>
      </w:r>
      <w:r w:rsidR="006D4AE0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librada, previo informe favorable de sus servicios jurídicos, por el funcionario a cuyo cargo se encuentre la administración de los mismos,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ACREDITATIVA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DE</w:t>
      </w:r>
      <w:r w:rsidR="006D4AE0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l</w:t>
      </w:r>
      <w:proofErr w:type="spellEnd"/>
      <w:r w:rsidR="006D4AE0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</w:t>
      </w:r>
    </w:p>
    <w:p w:rsidR="003830F6" w:rsidRPr="00E45CC1" w:rsidRDefault="003830F6" w:rsidP="003830F6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acto, negocio o modo de su adquisición y</w:t>
      </w:r>
    </w:p>
    <w:p w:rsidR="003830F6" w:rsidRPr="00E45CC1" w:rsidRDefault="003830F6" w:rsidP="003830F6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fecha del acuerdo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del órgano competente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para su inclusión en el inventario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correspondiente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o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, caso de no existir, fecha del acuerdo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de aprobación de la última actualización del inventario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de la que resulte la inclusión del inmueble objeto de la certificación con indicación de la referencia o indicador que tenga asignado en el mismo, así como de </w:t>
      </w:r>
    </w:p>
    <w:p w:rsidR="003830F6" w:rsidRPr="00E45CC1" w:rsidRDefault="003830F6" w:rsidP="003830F6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su descripción, naturaleza patrimonial o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demanial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y su destino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en el primer caso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o su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eventual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afectación,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lastRenderedPageBreak/>
        <w:t>adscripción o reserva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, en el segundo.</w:t>
      </w:r>
      <w:r w:rsidR="003830F6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Asimismo, las entidades referidas deberán aportar</w:t>
      </w:r>
    </w:p>
    <w:p w:rsidR="003830F6" w:rsidRPr="00E45CC1" w:rsidRDefault="003830F6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certificación catastral descriptiva y gráfica de la parcela o parcelas catastrales, </w:t>
      </w:r>
    </w:p>
    <w:p w:rsidR="003830F6" w:rsidRPr="00E45CC1" w:rsidRDefault="003830F6" w:rsidP="003830F6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3830F6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que se corresponda con la descripción literaria y la delimitación geográfica de la finca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cuya inmatriculación se solicita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en la forma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establecida en la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letra b) del artículo 9. </w:t>
      </w:r>
    </w:p>
    <w:p w:rsidR="003830F6" w:rsidRPr="00E45CC1" w:rsidRDefault="003830F6" w:rsidP="003830F6">
      <w:pPr>
        <w:ind w:left="1416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3830F6">
      <w:pPr>
        <w:ind w:left="1416"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Solo en caso de que la finca careciese de certificación catastral descriptiva y gráfica, podrá aportarse una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representación gráfica georreferenciada alternativa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, la cual deberá corresponderse con la descripción literaria realizada y respetar la delimitación de los colindantes catastrales y registrales. A la representación gráfica alternativa deberá acompañarse informe del Catastro.</w:t>
      </w:r>
    </w:p>
    <w:p w:rsidR="003830F6" w:rsidRPr="00E45CC1" w:rsidRDefault="003830F6" w:rsidP="003830F6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6D4AE0">
      <w:pPr>
        <w:ind w:right="418"/>
        <w:jc w:val="both"/>
        <w:rPr>
          <w:rFonts w:ascii="Courier New" w:hAnsi="Courier New" w:cs="Courier New"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2. En todo caso,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será preciso que </w:t>
      </w:r>
      <w:r w:rsidR="003830F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EL REGISTRADOR COMPRUEBE LA FALTA DE PREVIA INMATRICULACIÓN DE TODO O PARTE DEL INMUEBLE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. Si advirtiera la existencia de fincas inscritas coincidentes en todo o en parte, denegará la inmatriculación solicitada, previa expedición de certificación de las referidas fincas, que remitirá al organismo interesado junto con la nota de calificación.</w:t>
      </w:r>
    </w:p>
    <w:p w:rsidR="003830F6" w:rsidRPr="00E45CC1" w:rsidRDefault="003830F6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E45CC1" w:rsidRDefault="006D4AE0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3.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Practicada la inmatriculación, el Registrador expedirá el </w:t>
      </w:r>
      <w:r w:rsidR="003830F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EDICTO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a que se refiere la regla séptima del apartado 1 del artículo 203 con el mismo régimen en ella previsto,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incluido el sistema de </w:t>
      </w:r>
      <w:r w:rsidR="003830F6"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ALERTAS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.</w:t>
      </w:r>
    </w:p>
    <w:p w:rsidR="003830F6" w:rsidRPr="00E45CC1" w:rsidRDefault="003830F6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61B00" w:rsidRPr="00E45CC1" w:rsidRDefault="00661B00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661B00">
        <w:rPr>
          <w:rFonts w:ascii="Courier New" w:hAnsi="Courier New" w:cs="Courier New"/>
          <w:b/>
          <w:sz w:val="20"/>
          <w:szCs w:val="20"/>
        </w:rPr>
        <w:t>NO ABORDAMOS el resto del artículo 206</w:t>
      </w:r>
      <w:r w:rsidRPr="002F060F">
        <w:rPr>
          <w:rFonts w:ascii="Courier New" w:hAnsi="Courier New" w:cs="Courier New"/>
          <w:sz w:val="20"/>
          <w:szCs w:val="20"/>
        </w:rPr>
        <w:t xml:space="preserve">, que permite </w:t>
      </w:r>
      <w:r>
        <w:rPr>
          <w:rFonts w:ascii="Courier New" w:hAnsi="Courier New" w:cs="Courier New"/>
          <w:sz w:val="20"/>
          <w:szCs w:val="20"/>
        </w:rPr>
        <w:t>la</w:t>
      </w:r>
      <w:r w:rsidRPr="002F060F">
        <w:rPr>
          <w:rFonts w:ascii="Courier New" w:hAnsi="Courier New" w:cs="Courier New"/>
          <w:sz w:val="20"/>
          <w:szCs w:val="20"/>
        </w:rPr>
        <w:t xml:space="preserve"> utilización </w:t>
      </w:r>
      <w:r>
        <w:rPr>
          <w:rFonts w:ascii="Courier New" w:hAnsi="Courier New" w:cs="Courier New"/>
          <w:sz w:val="20"/>
          <w:szCs w:val="20"/>
        </w:rPr>
        <w:t xml:space="preserve">de certificación </w:t>
      </w:r>
      <w:proofErr w:type="spellStart"/>
      <w:r>
        <w:rPr>
          <w:rFonts w:ascii="Courier New" w:hAnsi="Courier New" w:cs="Courier New"/>
          <w:sz w:val="20"/>
          <w:szCs w:val="20"/>
        </w:rPr>
        <w:t>admtva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2F060F">
        <w:rPr>
          <w:rFonts w:ascii="Courier New" w:hAnsi="Courier New" w:cs="Courier New"/>
          <w:sz w:val="20"/>
          <w:szCs w:val="20"/>
        </w:rPr>
        <w:t>para</w:t>
      </w:r>
      <w:r>
        <w:rPr>
          <w:rFonts w:ascii="Courier New" w:hAnsi="Courier New" w:cs="Courier New"/>
          <w:sz w:val="20"/>
          <w:szCs w:val="20"/>
        </w:rPr>
        <w:t>:</w:t>
      </w:r>
      <w:r w:rsidRPr="002F060F">
        <w:rPr>
          <w:rFonts w:ascii="Courier New" w:hAnsi="Courier New" w:cs="Courier New"/>
          <w:sz w:val="20"/>
          <w:szCs w:val="20"/>
        </w:rPr>
        <w:t xml:space="preserve"> </w:t>
      </w:r>
    </w:p>
    <w:p w:rsidR="00661B00" w:rsidRPr="00E45CC1" w:rsidRDefault="00661B00" w:rsidP="006D4AE0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3830F6" w:rsidRPr="00E45CC1" w:rsidRDefault="006D4AE0" w:rsidP="00661B0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la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>reanudación del tracto sucesivo interrumpido a través de certificación administrativa</w:t>
      </w:r>
    </w:p>
    <w:p w:rsidR="00661B00" w:rsidRPr="00E45CC1" w:rsidRDefault="00661B00" w:rsidP="00661B00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</w:pPr>
    </w:p>
    <w:p w:rsidR="006D4AE0" w:rsidRPr="00661B00" w:rsidRDefault="006D4AE0" w:rsidP="00661B00">
      <w:pPr>
        <w:ind w:left="708" w:right="418"/>
        <w:jc w:val="both"/>
        <w:rPr>
          <w:rFonts w:ascii="Courier New" w:hAnsi="Courier New" w:cs="Courier New"/>
          <w:i/>
          <w:sz w:val="20"/>
          <w:szCs w:val="20"/>
          <w:lang w:val="es-ES"/>
        </w:rPr>
      </w:pP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operaciones registrales de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  <w:lang w:val="es-ES"/>
        </w:rPr>
        <w:t xml:space="preserve">agrupación, división, agregación, segregación, declaración de obra nueva, división horizontal, constitución de conjuntos inmobiliarios, rectificación descriptiva o cancelación, 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u w:val="single"/>
          <w:lang w:val="es-ES"/>
        </w:rPr>
        <w:t>siempre que</w:t>
      </w:r>
      <w:r w:rsidR="00661B00"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>...</w:t>
      </w:r>
      <w:r w:rsidRPr="00E45CC1">
        <w:rPr>
          <w:rFonts w:ascii="Courier New" w:hAnsi="Courier New" w:cs="Courier New"/>
          <w:i/>
          <w:color w:val="808080"/>
          <w:sz w:val="20"/>
          <w:szCs w:val="20"/>
          <w:lang w:val="es-ES"/>
        </w:rPr>
        <w:t xml:space="preserve"> </w:t>
      </w:r>
    </w:p>
    <w:p w:rsidR="006F2458" w:rsidRPr="002F060F" w:rsidRDefault="006F2458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6F2458" w:rsidRPr="002F060F" w:rsidRDefault="00661B00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  <w:r w:rsidRPr="00661B00">
        <w:rPr>
          <w:rFonts w:ascii="Courier New" w:hAnsi="Courier New" w:cs="Courier New"/>
          <w:b/>
          <w:sz w:val="20"/>
          <w:szCs w:val="20"/>
        </w:rPr>
        <w:t>EFECTOS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="006F2458" w:rsidRPr="002F060F">
        <w:rPr>
          <w:rFonts w:ascii="Courier New" w:hAnsi="Courier New" w:cs="Courier New"/>
          <w:sz w:val="20"/>
          <w:szCs w:val="20"/>
        </w:rPr>
        <w:t xml:space="preserve">De nuevo resulta de aplicación a esta inmatriculación la suspensión de efectos del artículo 207 LH. </w:t>
      </w:r>
    </w:p>
    <w:p w:rsidR="006F2458" w:rsidRPr="002F060F" w:rsidRDefault="006F2458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6F2458" w:rsidRPr="002F060F" w:rsidRDefault="006F2458" w:rsidP="00D46258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00452B" w:rsidRPr="00661B00" w:rsidRDefault="0000452B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661B0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LA INMATRICULACIÓN Y EL CATASTRO</w:t>
      </w:r>
    </w:p>
    <w:p w:rsidR="00897B65" w:rsidRPr="002F060F" w:rsidRDefault="00897B65" w:rsidP="00D46258">
      <w:pPr>
        <w:ind w:right="418"/>
        <w:jc w:val="both"/>
        <w:rPr>
          <w:rFonts w:ascii="Courier New" w:hAnsi="Courier New" w:cs="Courier New"/>
          <w:b/>
          <w:sz w:val="20"/>
          <w:szCs w:val="20"/>
        </w:rPr>
      </w:pPr>
    </w:p>
    <w:p w:rsidR="004915F7" w:rsidRDefault="004915F7" w:rsidP="00DB545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  <w:lang w:val="es-ES"/>
        </w:rPr>
      </w:pPr>
    </w:p>
    <w:p w:rsidR="004915F7" w:rsidRPr="00E45CC1" w:rsidRDefault="004915F7" w:rsidP="004A2573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4A2573">
        <w:rPr>
          <w:rFonts w:ascii="Courier New" w:hAnsi="Courier New" w:cs="Courier New"/>
          <w:sz w:val="20"/>
          <w:szCs w:val="20"/>
        </w:rPr>
        <w:t xml:space="preserve">9 LH ...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la inscripción contendrá las circunstancias siguientes...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b) Siempre que se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inmatricule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una finca... la 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REPRESENTACIÓN GRÁFICA GEORREFERENCIADA DE LA FINCA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que complete su descripción literaria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...</w:t>
      </w:r>
    </w:p>
    <w:p w:rsidR="004915F7" w:rsidRPr="004A2573" w:rsidRDefault="004915F7" w:rsidP="004A2573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4915F7" w:rsidRPr="004A2573" w:rsidRDefault="004915F7" w:rsidP="004A2573">
      <w:pPr>
        <w:ind w:right="418"/>
        <w:jc w:val="both"/>
        <w:rPr>
          <w:rFonts w:ascii="Courier New" w:hAnsi="Courier New" w:cs="Courier New"/>
          <w:sz w:val="20"/>
          <w:szCs w:val="20"/>
        </w:rPr>
      </w:pPr>
    </w:p>
    <w:p w:rsidR="004A2573" w:rsidRPr="00E45CC1" w:rsidRDefault="00DB5454" w:rsidP="004A2573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4A2573">
        <w:rPr>
          <w:rFonts w:ascii="Courier New" w:hAnsi="Courier New" w:cs="Courier New"/>
          <w:sz w:val="20"/>
          <w:szCs w:val="20"/>
        </w:rPr>
        <w:t xml:space="preserve">10.3 </w:t>
      </w:r>
      <w:r w:rsidR="004A2573" w:rsidRPr="004A2573">
        <w:rPr>
          <w:rFonts w:ascii="Courier New" w:hAnsi="Courier New" w:cs="Courier New"/>
          <w:sz w:val="20"/>
          <w:szCs w:val="20"/>
        </w:rPr>
        <w:t>LH</w:t>
      </w:r>
      <w:r w:rsidRPr="004A2573">
        <w:rPr>
          <w:rFonts w:ascii="Courier New" w:hAnsi="Courier New" w:cs="Courier New"/>
          <w:sz w:val="20"/>
          <w:szCs w:val="20"/>
        </w:rPr>
        <w:t xml:space="preserve"> 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Ú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nicamente podrá aportarse una representación gráfica georreferenciada complementaria o 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ALTERNATIVA</w:t>
      </w: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a la certificación catastral gráfica y descriptiva en los siguientes supuestos: </w:t>
      </w:r>
    </w:p>
    <w:p w:rsidR="004A2573" w:rsidRPr="00E45CC1" w:rsidRDefault="004A2573" w:rsidP="004A2573">
      <w:pPr>
        <w:ind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</w:p>
    <w:p w:rsidR="004A2573" w:rsidRPr="00E45CC1" w:rsidRDefault="00DB5454" w:rsidP="004A2573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a) Procedimientos de concordancia entre el Registro de la Propiedad y la realidad </w:t>
      </w:r>
      <w:proofErr w:type="spellStart"/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extrarregistral</w:t>
      </w:r>
      <w:proofErr w:type="spellEnd"/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del Título VI de esta Ley en los que expresamente se admita una representación gráfica alternativa. </w:t>
      </w:r>
    </w:p>
    <w:p w:rsidR="004A2573" w:rsidRPr="00E45CC1" w:rsidRDefault="004A2573" w:rsidP="004A2573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</w:p>
    <w:p w:rsidR="004A2573" w:rsidRPr="0088032F" w:rsidRDefault="004A2573" w:rsidP="004A2573">
      <w:pPr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Resulta que </w:t>
      </w:r>
    </w:p>
    <w:p w:rsidR="004A2573" w:rsidRPr="0088032F" w:rsidRDefault="004A2573" w:rsidP="004A2573">
      <w:pPr>
        <w:autoSpaceDE w:val="0"/>
        <w:autoSpaceDN w:val="0"/>
        <w:adjustRightInd w:val="0"/>
        <w:ind w:left="141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A2573" w:rsidRPr="0088032F" w:rsidRDefault="004A2573" w:rsidP="004A2573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En los procedimientos de los </w:t>
      </w:r>
      <w:proofErr w:type="spellStart"/>
      <w:r w:rsidRPr="0088032F">
        <w:rPr>
          <w:rFonts w:ascii="Courier New" w:hAnsi="Courier New" w:cs="Courier New"/>
          <w:sz w:val="20"/>
          <w:szCs w:val="20"/>
          <w:lang w:val="es-ES"/>
        </w:rPr>
        <w:t>arts</w:t>
      </w:r>
      <w:proofErr w:type="spellEnd"/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Pr="0088032F">
        <w:rPr>
          <w:rFonts w:ascii="Courier New" w:hAnsi="Courier New" w:cs="Courier New"/>
          <w:b/>
          <w:sz w:val="20"/>
          <w:szCs w:val="20"/>
          <w:lang w:val="es-ES"/>
        </w:rPr>
        <w:t>203 y 205</w:t>
      </w: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 NO existe expresa previsión legal de admisión de representaciones gráficas alternativas a la catastral</w:t>
      </w:r>
    </w:p>
    <w:p w:rsidR="004A2573" w:rsidRPr="0088032F" w:rsidRDefault="004A2573" w:rsidP="004A2573">
      <w:pPr>
        <w:autoSpaceDE w:val="0"/>
        <w:autoSpaceDN w:val="0"/>
        <w:adjustRightInd w:val="0"/>
        <w:ind w:left="2124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4A2573" w:rsidRPr="00E45CC1" w:rsidRDefault="004A2573" w:rsidP="004A2573">
      <w:pPr>
        <w:ind w:left="2124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En cambio, en muchos otros preceptos del Título VI, SÍ. Por ejemplo, el 199.2, el 200, el 201, el 202, el </w:t>
      </w:r>
      <w:r w:rsidRPr="0088032F">
        <w:rPr>
          <w:rFonts w:ascii="Courier New" w:hAnsi="Courier New" w:cs="Courier New"/>
          <w:b/>
          <w:sz w:val="20"/>
          <w:szCs w:val="20"/>
          <w:lang w:val="es-ES"/>
        </w:rPr>
        <w:t>204</w:t>
      </w: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 o el </w:t>
      </w:r>
      <w:r w:rsidRPr="0088032F">
        <w:rPr>
          <w:rFonts w:ascii="Courier New" w:hAnsi="Courier New" w:cs="Courier New"/>
          <w:b/>
          <w:sz w:val="20"/>
          <w:szCs w:val="20"/>
          <w:lang w:val="es-ES"/>
        </w:rPr>
        <w:t>206</w:t>
      </w: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 (se admite expresamente tal representación alternativa).</w:t>
      </w:r>
    </w:p>
    <w:p w:rsidR="004A2573" w:rsidRPr="00E45CC1" w:rsidRDefault="004A2573" w:rsidP="004A2573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</w:p>
    <w:p w:rsidR="00DB5454" w:rsidRPr="00E45CC1" w:rsidRDefault="00DB5454" w:rsidP="004A2573">
      <w:pPr>
        <w:ind w:left="708" w:right="41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b) Cuando el acto inscribible consista en una parcelación, reparcelación, segregación, división, agrupación, agregación o deslinde judicial, que determinen una reordenación de los terrenos.</w:t>
      </w:r>
      <w:r w:rsidR="004A2573" w:rsidRPr="00E45CC1">
        <w:rPr>
          <w:rFonts w:ascii="Courier New" w:hAnsi="Courier New" w:cs="Courier New"/>
          <w:b/>
          <w:i/>
          <w:color w:val="808080"/>
          <w:sz w:val="20"/>
          <w:szCs w:val="20"/>
        </w:rPr>
        <w:t>..</w:t>
      </w:r>
    </w:p>
    <w:p w:rsidR="004915F7" w:rsidRPr="0088032F" w:rsidRDefault="004915F7" w:rsidP="00DB545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i/>
          <w:sz w:val="20"/>
          <w:szCs w:val="20"/>
          <w:lang w:val="es-ES"/>
        </w:rPr>
      </w:pPr>
    </w:p>
    <w:p w:rsidR="00DB5454" w:rsidRDefault="004A2573" w:rsidP="00897B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88032F">
        <w:rPr>
          <w:rFonts w:ascii="Courier New" w:hAnsi="Courier New" w:cs="Courier New"/>
          <w:sz w:val="20"/>
          <w:szCs w:val="20"/>
          <w:lang w:val="es-ES"/>
        </w:rPr>
        <w:t xml:space="preserve">CONCLUSIÓN (RDGRN 5 mayo 2016): </w:t>
      </w:r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 xml:space="preserve">si se pretende </w:t>
      </w:r>
      <w:proofErr w:type="spellStart"/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>inmatricular</w:t>
      </w:r>
      <w:proofErr w:type="spellEnd"/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 xml:space="preserve"> conforme al artículo </w:t>
      </w:r>
      <w:r w:rsidR="004915F7" w:rsidRPr="0088032F">
        <w:rPr>
          <w:rFonts w:ascii="Courier New" w:hAnsi="Courier New" w:cs="Courier New"/>
          <w:b/>
          <w:sz w:val="20"/>
          <w:szCs w:val="20"/>
          <w:lang w:val="es-ES"/>
        </w:rPr>
        <w:t xml:space="preserve">203 </w:t>
      </w:r>
      <w:proofErr w:type="spellStart"/>
      <w:r w:rsidR="004915F7" w:rsidRPr="0088032F">
        <w:rPr>
          <w:rFonts w:ascii="Courier New" w:hAnsi="Courier New" w:cs="Courier New"/>
          <w:b/>
          <w:sz w:val="20"/>
          <w:szCs w:val="20"/>
          <w:lang w:val="es-ES"/>
        </w:rPr>
        <w:t>ó</w:t>
      </w:r>
      <w:proofErr w:type="spellEnd"/>
      <w:r w:rsidR="004915F7" w:rsidRPr="0088032F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>205</w:t>
      </w:r>
      <w:r w:rsidR="004915F7" w:rsidRPr="0088032F">
        <w:rPr>
          <w:rFonts w:ascii="Courier New" w:hAnsi="Courier New" w:cs="Courier New"/>
          <w:b/>
          <w:sz w:val="20"/>
          <w:szCs w:val="20"/>
          <w:lang w:val="es-ES"/>
        </w:rPr>
        <w:t xml:space="preserve"> LH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 xml:space="preserve"> una delimitación perimetral de suelo distinta de la que resulte de la certificación catastral descriptiva y gráfica aport</w:t>
      </w:r>
      <w:r w:rsidR="004915F7" w:rsidRPr="0088032F">
        <w:rPr>
          <w:rFonts w:ascii="Courier New" w:hAnsi="Courier New" w:cs="Courier New"/>
          <w:sz w:val="20"/>
          <w:szCs w:val="20"/>
          <w:lang w:val="es-ES"/>
        </w:rPr>
        <w:t>ada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 xml:space="preserve">, </w:t>
      </w:r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>lo procedente será obtener previamente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>, conforme a los cauces previstos en la legislación catastral</w:t>
      </w:r>
      <w:r w:rsidR="004915F7" w:rsidRPr="0088032F">
        <w:rPr>
          <w:rFonts w:ascii="Courier New" w:hAnsi="Courier New" w:cs="Courier New"/>
          <w:sz w:val="20"/>
          <w:szCs w:val="20"/>
          <w:lang w:val="es-ES"/>
        </w:rPr>
        <w:t xml:space="preserve"> (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>alteración catastral</w:t>
      </w:r>
      <w:r w:rsidR="004915F7" w:rsidRPr="0088032F">
        <w:rPr>
          <w:rFonts w:ascii="Courier New" w:hAnsi="Courier New" w:cs="Courier New"/>
          <w:sz w:val="20"/>
          <w:szCs w:val="20"/>
          <w:lang w:val="es-ES"/>
        </w:rPr>
        <w:t xml:space="preserve">), </w:t>
      </w:r>
      <w:r w:rsidR="00DB5454" w:rsidRPr="0088032F">
        <w:rPr>
          <w:rFonts w:ascii="Courier New" w:hAnsi="Courier New" w:cs="Courier New"/>
          <w:b/>
          <w:sz w:val="20"/>
          <w:szCs w:val="20"/>
          <w:lang w:val="es-ES"/>
        </w:rPr>
        <w:t>una nueva certificación catastral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 xml:space="preserve"> descriptiva y gráfica que cumpla el requisito de </w:t>
      </w:r>
      <w:r w:rsidR="0088032F" w:rsidRPr="0088032F">
        <w:rPr>
          <w:rFonts w:ascii="Courier New" w:hAnsi="Courier New" w:cs="Courier New"/>
          <w:sz w:val="20"/>
          <w:szCs w:val="20"/>
          <w:lang w:val="es-ES"/>
        </w:rPr>
        <w:t>IDENTIDAD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="004915F7" w:rsidRPr="0088032F">
        <w:rPr>
          <w:rFonts w:ascii="Courier New" w:hAnsi="Courier New" w:cs="Courier New"/>
          <w:sz w:val="20"/>
          <w:szCs w:val="20"/>
          <w:lang w:val="es-ES"/>
        </w:rPr>
        <w:t>(en cuanto a ubicación, delimitación y superficie</w:t>
      </w:r>
      <w:r w:rsidR="00112CDA" w:rsidRPr="0088032F">
        <w:rPr>
          <w:rFonts w:ascii="Courier New" w:hAnsi="Courier New" w:cs="Courier New"/>
          <w:sz w:val="20"/>
          <w:szCs w:val="20"/>
          <w:lang w:val="es-ES"/>
        </w:rPr>
        <w:t>; no mera correspondencia del art 9 LH –“se entenderá que existe correspondencia...”-</w:t>
      </w:r>
      <w:r w:rsidR="004915F7" w:rsidRPr="0088032F">
        <w:rPr>
          <w:rFonts w:ascii="Courier New" w:hAnsi="Courier New" w:cs="Courier New"/>
          <w:sz w:val="20"/>
          <w:szCs w:val="20"/>
          <w:lang w:val="es-ES"/>
        </w:rPr>
        <w:t xml:space="preserve">) </w:t>
      </w:r>
      <w:r w:rsidR="00DB5454" w:rsidRPr="0088032F">
        <w:rPr>
          <w:rFonts w:ascii="Courier New" w:hAnsi="Courier New" w:cs="Courier New"/>
          <w:sz w:val="20"/>
          <w:szCs w:val="20"/>
          <w:lang w:val="es-ES"/>
        </w:rPr>
        <w:t xml:space="preserve">con la descripción contenida en el título </w:t>
      </w:r>
      <w:proofErr w:type="spellStart"/>
      <w:r w:rsidR="00DB5454" w:rsidRPr="0088032F">
        <w:rPr>
          <w:rFonts w:ascii="Courier New" w:hAnsi="Courier New" w:cs="Courier New"/>
          <w:sz w:val="20"/>
          <w:szCs w:val="20"/>
          <w:lang w:val="es-ES"/>
        </w:rPr>
        <w:t>inmatriculador</w:t>
      </w:r>
      <w:proofErr w:type="spellEnd"/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897B65" w:rsidRPr="002F060F" w:rsidRDefault="00897B65" w:rsidP="00897B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112CDA" w:rsidRDefault="0088032F" w:rsidP="0088032F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Sobre “IDENTIDAD”, d</w:t>
      </w:r>
      <w:r w:rsidR="00112CDA">
        <w:rPr>
          <w:rFonts w:ascii="Courier New" w:hAnsi="Courier New" w:cs="Courier New"/>
          <w:sz w:val="20"/>
          <w:szCs w:val="20"/>
          <w:lang w:val="es-ES"/>
        </w:rPr>
        <w:t>estacar la doctrina ya citada de la RDGRN 12 mayo 2016:</w:t>
      </w:r>
      <w:r w:rsidR="00112CDA" w:rsidRPr="002F060F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112CDA" w:rsidRDefault="00112CDA" w:rsidP="0088032F">
      <w:pPr>
        <w:ind w:left="708" w:right="418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112CDA" w:rsidRDefault="00112CDA" w:rsidP="0088032F">
      <w:pPr>
        <w:ind w:left="1416" w:right="41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efectos de inmatriculación 203</w:t>
      </w:r>
      <w:r w:rsidR="0088032F">
        <w:rPr>
          <w:rFonts w:ascii="Courier New" w:hAnsi="Courier New" w:cs="Courier New"/>
          <w:sz w:val="20"/>
          <w:szCs w:val="20"/>
        </w:rPr>
        <w:t>-205</w:t>
      </w:r>
      <w:r>
        <w:rPr>
          <w:rFonts w:ascii="Courier New" w:hAnsi="Courier New" w:cs="Courier New"/>
          <w:sz w:val="20"/>
          <w:szCs w:val="20"/>
        </w:rPr>
        <w:t xml:space="preserve"> LH NO</w:t>
      </w:r>
      <w:r w:rsidRPr="00DD7202">
        <w:rPr>
          <w:rFonts w:ascii="Courier New" w:hAnsi="Courier New" w:cs="Courier New"/>
          <w:sz w:val="20"/>
          <w:szCs w:val="20"/>
        </w:rPr>
        <w:t xml:space="preserve"> es admisible margen de diferencia del 10% de superficie</w:t>
      </w:r>
      <w:r>
        <w:rPr>
          <w:rFonts w:ascii="Courier New" w:hAnsi="Courier New" w:cs="Courier New"/>
          <w:sz w:val="20"/>
          <w:szCs w:val="20"/>
        </w:rPr>
        <w:t xml:space="preserve"> (permitido a otros efectos, </w:t>
      </w:r>
      <w:proofErr w:type="spellStart"/>
      <w:r>
        <w:rPr>
          <w:rFonts w:ascii="Courier New" w:hAnsi="Courier New" w:cs="Courier New"/>
          <w:sz w:val="20"/>
          <w:szCs w:val="20"/>
        </w:rPr>
        <w:t>vg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201.3 LH) entre el título y el catastro.</w:t>
      </w:r>
    </w:p>
    <w:p w:rsidR="00112CDA" w:rsidRDefault="00112CDA" w:rsidP="0088032F">
      <w:pPr>
        <w:ind w:left="1416" w:right="418"/>
        <w:jc w:val="both"/>
        <w:rPr>
          <w:rFonts w:ascii="Courier New" w:hAnsi="Courier New" w:cs="Courier New"/>
          <w:sz w:val="20"/>
          <w:szCs w:val="20"/>
        </w:rPr>
      </w:pPr>
    </w:p>
    <w:p w:rsidR="00AC7CF2" w:rsidRPr="002F060F" w:rsidRDefault="00112CDA" w:rsidP="00AD6F6B">
      <w:pPr>
        <w:ind w:left="1416" w:right="41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 </w:t>
      </w:r>
      <w:r w:rsidRPr="00DD7202">
        <w:rPr>
          <w:rFonts w:ascii="Courier New" w:hAnsi="Courier New" w:cs="Courier New"/>
          <w:sz w:val="20"/>
          <w:szCs w:val="20"/>
        </w:rPr>
        <w:t xml:space="preserve">identidad </w:t>
      </w:r>
      <w:r>
        <w:rPr>
          <w:rFonts w:ascii="Courier New" w:hAnsi="Courier New" w:cs="Courier New"/>
          <w:sz w:val="20"/>
          <w:szCs w:val="20"/>
        </w:rPr>
        <w:t xml:space="preserve">requerida “en todo caso” </w:t>
      </w:r>
      <w:r w:rsidRPr="00DD7202">
        <w:rPr>
          <w:rFonts w:ascii="Courier New" w:hAnsi="Courier New" w:cs="Courier New"/>
          <w:sz w:val="20"/>
          <w:szCs w:val="20"/>
        </w:rPr>
        <w:t>ha de referirse a la ubicación y delimitación geográfica perimetral de la finca, no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D7202">
        <w:rPr>
          <w:rFonts w:ascii="Courier New" w:hAnsi="Courier New" w:cs="Courier New"/>
          <w:sz w:val="20"/>
          <w:szCs w:val="20"/>
        </w:rPr>
        <w:t xml:space="preserve">a </w:t>
      </w:r>
      <w:r>
        <w:rPr>
          <w:rFonts w:ascii="Courier New" w:hAnsi="Courier New" w:cs="Courier New"/>
          <w:sz w:val="20"/>
          <w:szCs w:val="20"/>
        </w:rPr>
        <w:t>las</w:t>
      </w:r>
      <w:r w:rsidRPr="00DD7202">
        <w:rPr>
          <w:rFonts w:ascii="Courier New" w:hAnsi="Courier New" w:cs="Courier New"/>
          <w:sz w:val="20"/>
          <w:szCs w:val="20"/>
        </w:rPr>
        <w:t xml:space="preserve"> edificaciones ubicados en </w:t>
      </w:r>
      <w:r>
        <w:rPr>
          <w:rFonts w:ascii="Courier New" w:hAnsi="Courier New" w:cs="Courier New"/>
          <w:sz w:val="20"/>
          <w:szCs w:val="20"/>
        </w:rPr>
        <w:t>su</w:t>
      </w:r>
      <w:r w:rsidRPr="00DD7202">
        <w:rPr>
          <w:rFonts w:ascii="Courier New" w:hAnsi="Courier New" w:cs="Courier New"/>
          <w:sz w:val="20"/>
          <w:szCs w:val="20"/>
        </w:rPr>
        <w:t xml:space="preserve"> interior de ella ni tampoco a la identidad del titular catastral</w:t>
      </w:r>
      <w:r>
        <w:rPr>
          <w:rFonts w:ascii="Courier New" w:hAnsi="Courier New" w:cs="Courier New"/>
          <w:sz w:val="20"/>
          <w:szCs w:val="20"/>
        </w:rPr>
        <w:t xml:space="preserve"> de la finca</w:t>
      </w:r>
      <w:r w:rsidR="00AD6F6B">
        <w:rPr>
          <w:rFonts w:ascii="Courier New" w:hAnsi="Courier New" w:cs="Courier New"/>
          <w:sz w:val="20"/>
          <w:szCs w:val="20"/>
        </w:rPr>
        <w:t xml:space="preserve"> (ni colindantes).</w:t>
      </w:r>
    </w:p>
    <w:sectPr w:rsidR="00AC7CF2" w:rsidRPr="002F060F" w:rsidSect="003752EC">
      <w:footerReference w:type="even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EF" w:rsidRDefault="007633EF" w:rsidP="00771D17">
      <w:r>
        <w:separator/>
      </w:r>
    </w:p>
  </w:endnote>
  <w:endnote w:type="continuationSeparator" w:id="0">
    <w:p w:rsidR="007633EF" w:rsidRDefault="007633EF" w:rsidP="007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EB" w:rsidRDefault="00AF7EEB" w:rsidP="008B42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A5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F7EEB" w:rsidRDefault="00AF7EEB" w:rsidP="00771D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EF" w:rsidRDefault="007633EF" w:rsidP="00771D17">
      <w:r>
        <w:separator/>
      </w:r>
    </w:p>
  </w:footnote>
  <w:footnote w:type="continuationSeparator" w:id="0">
    <w:p w:rsidR="007633EF" w:rsidRDefault="007633EF" w:rsidP="0077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3A6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296A"/>
    <w:multiLevelType w:val="hybridMultilevel"/>
    <w:tmpl w:val="116CC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492"/>
    <w:multiLevelType w:val="hybridMultilevel"/>
    <w:tmpl w:val="B4C8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0C02"/>
    <w:multiLevelType w:val="hybridMultilevel"/>
    <w:tmpl w:val="B6B0F970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E7263EA"/>
    <w:multiLevelType w:val="hybridMultilevel"/>
    <w:tmpl w:val="CB50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089C"/>
    <w:multiLevelType w:val="hybridMultilevel"/>
    <w:tmpl w:val="DEFE6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31C4"/>
    <w:multiLevelType w:val="hybridMultilevel"/>
    <w:tmpl w:val="C486D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67C2"/>
    <w:multiLevelType w:val="hybridMultilevel"/>
    <w:tmpl w:val="B24C8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26B0"/>
    <w:multiLevelType w:val="hybridMultilevel"/>
    <w:tmpl w:val="C66A4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334D"/>
    <w:multiLevelType w:val="hybridMultilevel"/>
    <w:tmpl w:val="7B947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0"/>
    <w:rsid w:val="0000452B"/>
    <w:rsid w:val="00011F49"/>
    <w:rsid w:val="00012E17"/>
    <w:rsid w:val="0001369A"/>
    <w:rsid w:val="000137BA"/>
    <w:rsid w:val="000337B1"/>
    <w:rsid w:val="000541E1"/>
    <w:rsid w:val="0007567A"/>
    <w:rsid w:val="00087246"/>
    <w:rsid w:val="000872A9"/>
    <w:rsid w:val="00093537"/>
    <w:rsid w:val="00094ADD"/>
    <w:rsid w:val="000B1B71"/>
    <w:rsid w:val="000B5D0B"/>
    <w:rsid w:val="000C3A0C"/>
    <w:rsid w:val="000D2D07"/>
    <w:rsid w:val="000D7122"/>
    <w:rsid w:val="000E55E8"/>
    <w:rsid w:val="000E5F7D"/>
    <w:rsid w:val="000E6865"/>
    <w:rsid w:val="000F5891"/>
    <w:rsid w:val="00112CDA"/>
    <w:rsid w:val="00121C72"/>
    <w:rsid w:val="00124E91"/>
    <w:rsid w:val="00130723"/>
    <w:rsid w:val="00130C25"/>
    <w:rsid w:val="001359DF"/>
    <w:rsid w:val="0014187D"/>
    <w:rsid w:val="001456E3"/>
    <w:rsid w:val="00151652"/>
    <w:rsid w:val="00154016"/>
    <w:rsid w:val="00163D5F"/>
    <w:rsid w:val="00166906"/>
    <w:rsid w:val="00167A44"/>
    <w:rsid w:val="001747A3"/>
    <w:rsid w:val="00186D89"/>
    <w:rsid w:val="001913DF"/>
    <w:rsid w:val="00193D84"/>
    <w:rsid w:val="001B748B"/>
    <w:rsid w:val="001B76B4"/>
    <w:rsid w:val="001C606B"/>
    <w:rsid w:val="001E4668"/>
    <w:rsid w:val="001E59D5"/>
    <w:rsid w:val="001E7F8E"/>
    <w:rsid w:val="001F1894"/>
    <w:rsid w:val="00206250"/>
    <w:rsid w:val="002131D2"/>
    <w:rsid w:val="0023011B"/>
    <w:rsid w:val="002376EA"/>
    <w:rsid w:val="00255345"/>
    <w:rsid w:val="0025627F"/>
    <w:rsid w:val="00257585"/>
    <w:rsid w:val="00283AB3"/>
    <w:rsid w:val="002871D6"/>
    <w:rsid w:val="002B36BA"/>
    <w:rsid w:val="002B673C"/>
    <w:rsid w:val="002C53DB"/>
    <w:rsid w:val="002E50DB"/>
    <w:rsid w:val="002F060F"/>
    <w:rsid w:val="00301112"/>
    <w:rsid w:val="0030537A"/>
    <w:rsid w:val="00325CEE"/>
    <w:rsid w:val="00326490"/>
    <w:rsid w:val="0033164F"/>
    <w:rsid w:val="00344305"/>
    <w:rsid w:val="00347208"/>
    <w:rsid w:val="00354490"/>
    <w:rsid w:val="00362103"/>
    <w:rsid w:val="00363638"/>
    <w:rsid w:val="0036569F"/>
    <w:rsid w:val="003752EC"/>
    <w:rsid w:val="003830F6"/>
    <w:rsid w:val="00384229"/>
    <w:rsid w:val="00392D2A"/>
    <w:rsid w:val="00397D8C"/>
    <w:rsid w:val="003A2F65"/>
    <w:rsid w:val="003B3CC3"/>
    <w:rsid w:val="003E3C44"/>
    <w:rsid w:val="003E4965"/>
    <w:rsid w:val="003E4BD5"/>
    <w:rsid w:val="003F0BE4"/>
    <w:rsid w:val="003F3EFB"/>
    <w:rsid w:val="003F706F"/>
    <w:rsid w:val="00401756"/>
    <w:rsid w:val="00437849"/>
    <w:rsid w:val="0045244C"/>
    <w:rsid w:val="00452F00"/>
    <w:rsid w:val="00457E3E"/>
    <w:rsid w:val="00460172"/>
    <w:rsid w:val="00472F29"/>
    <w:rsid w:val="00477DB6"/>
    <w:rsid w:val="004915F7"/>
    <w:rsid w:val="00494760"/>
    <w:rsid w:val="004A2573"/>
    <w:rsid w:val="004C1527"/>
    <w:rsid w:val="004C2E13"/>
    <w:rsid w:val="004C3303"/>
    <w:rsid w:val="004D0B37"/>
    <w:rsid w:val="004E6D3B"/>
    <w:rsid w:val="004F24D7"/>
    <w:rsid w:val="00505430"/>
    <w:rsid w:val="00523B72"/>
    <w:rsid w:val="00541503"/>
    <w:rsid w:val="0056053A"/>
    <w:rsid w:val="00562E1D"/>
    <w:rsid w:val="00572A91"/>
    <w:rsid w:val="005828E5"/>
    <w:rsid w:val="00584A74"/>
    <w:rsid w:val="00586D8A"/>
    <w:rsid w:val="005B49D2"/>
    <w:rsid w:val="005B56B9"/>
    <w:rsid w:val="005C2A79"/>
    <w:rsid w:val="005C45BC"/>
    <w:rsid w:val="005D54C1"/>
    <w:rsid w:val="005F4283"/>
    <w:rsid w:val="00620734"/>
    <w:rsid w:val="006221A1"/>
    <w:rsid w:val="0063083F"/>
    <w:rsid w:val="006321C4"/>
    <w:rsid w:val="00634CC2"/>
    <w:rsid w:val="006460F3"/>
    <w:rsid w:val="0064615E"/>
    <w:rsid w:val="006540DF"/>
    <w:rsid w:val="00661B00"/>
    <w:rsid w:val="00691D6D"/>
    <w:rsid w:val="006A5A23"/>
    <w:rsid w:val="006D070B"/>
    <w:rsid w:val="006D4AE0"/>
    <w:rsid w:val="006D5C42"/>
    <w:rsid w:val="006D64BB"/>
    <w:rsid w:val="006F2458"/>
    <w:rsid w:val="007005BD"/>
    <w:rsid w:val="00702CFE"/>
    <w:rsid w:val="00715FF6"/>
    <w:rsid w:val="0072186D"/>
    <w:rsid w:val="00727F46"/>
    <w:rsid w:val="0073515D"/>
    <w:rsid w:val="00737100"/>
    <w:rsid w:val="0074470E"/>
    <w:rsid w:val="00745E62"/>
    <w:rsid w:val="007633EF"/>
    <w:rsid w:val="00767058"/>
    <w:rsid w:val="00771D17"/>
    <w:rsid w:val="0078033B"/>
    <w:rsid w:val="0078324C"/>
    <w:rsid w:val="00794350"/>
    <w:rsid w:val="00797F1D"/>
    <w:rsid w:val="007A2C5A"/>
    <w:rsid w:val="007A42A6"/>
    <w:rsid w:val="007B305F"/>
    <w:rsid w:val="007B33C7"/>
    <w:rsid w:val="007D56EA"/>
    <w:rsid w:val="007E0318"/>
    <w:rsid w:val="007E0A72"/>
    <w:rsid w:val="007E4BDF"/>
    <w:rsid w:val="007F0288"/>
    <w:rsid w:val="007F1A94"/>
    <w:rsid w:val="00800F70"/>
    <w:rsid w:val="00810863"/>
    <w:rsid w:val="00823BE4"/>
    <w:rsid w:val="00825575"/>
    <w:rsid w:val="00830319"/>
    <w:rsid w:val="008402D9"/>
    <w:rsid w:val="00844461"/>
    <w:rsid w:val="00876ED9"/>
    <w:rsid w:val="0088032F"/>
    <w:rsid w:val="00893932"/>
    <w:rsid w:val="00897B65"/>
    <w:rsid w:val="008A032F"/>
    <w:rsid w:val="008A0BF7"/>
    <w:rsid w:val="008B426E"/>
    <w:rsid w:val="00903EBA"/>
    <w:rsid w:val="00910A90"/>
    <w:rsid w:val="00916F59"/>
    <w:rsid w:val="00920631"/>
    <w:rsid w:val="009438B2"/>
    <w:rsid w:val="00970C85"/>
    <w:rsid w:val="00981691"/>
    <w:rsid w:val="009A122C"/>
    <w:rsid w:val="009D5A38"/>
    <w:rsid w:val="009D6B02"/>
    <w:rsid w:val="009F6605"/>
    <w:rsid w:val="009F76FB"/>
    <w:rsid w:val="00A03DB3"/>
    <w:rsid w:val="00A04241"/>
    <w:rsid w:val="00A37517"/>
    <w:rsid w:val="00A3777B"/>
    <w:rsid w:val="00A40B36"/>
    <w:rsid w:val="00A566B9"/>
    <w:rsid w:val="00A67B19"/>
    <w:rsid w:val="00A70A5C"/>
    <w:rsid w:val="00A8603A"/>
    <w:rsid w:val="00A9020A"/>
    <w:rsid w:val="00AB580E"/>
    <w:rsid w:val="00AB7491"/>
    <w:rsid w:val="00AC7CF2"/>
    <w:rsid w:val="00AD6A59"/>
    <w:rsid w:val="00AD6F6B"/>
    <w:rsid w:val="00AE79DC"/>
    <w:rsid w:val="00AF34C0"/>
    <w:rsid w:val="00AF7EEB"/>
    <w:rsid w:val="00B1503D"/>
    <w:rsid w:val="00B20910"/>
    <w:rsid w:val="00B26164"/>
    <w:rsid w:val="00B33941"/>
    <w:rsid w:val="00B3665D"/>
    <w:rsid w:val="00B424E8"/>
    <w:rsid w:val="00B4304D"/>
    <w:rsid w:val="00B73E90"/>
    <w:rsid w:val="00B80E6D"/>
    <w:rsid w:val="00B85D59"/>
    <w:rsid w:val="00BB52C4"/>
    <w:rsid w:val="00BB7F90"/>
    <w:rsid w:val="00BC1843"/>
    <w:rsid w:val="00BF586D"/>
    <w:rsid w:val="00BF7B0E"/>
    <w:rsid w:val="00C03855"/>
    <w:rsid w:val="00C25423"/>
    <w:rsid w:val="00C2701A"/>
    <w:rsid w:val="00C31871"/>
    <w:rsid w:val="00C40C82"/>
    <w:rsid w:val="00C42310"/>
    <w:rsid w:val="00C52D0E"/>
    <w:rsid w:val="00C71855"/>
    <w:rsid w:val="00C73F89"/>
    <w:rsid w:val="00C8766B"/>
    <w:rsid w:val="00C927A1"/>
    <w:rsid w:val="00CA161B"/>
    <w:rsid w:val="00CB2850"/>
    <w:rsid w:val="00CD4235"/>
    <w:rsid w:val="00CE288D"/>
    <w:rsid w:val="00CF4149"/>
    <w:rsid w:val="00D06623"/>
    <w:rsid w:val="00D14FC7"/>
    <w:rsid w:val="00D15387"/>
    <w:rsid w:val="00D22DDB"/>
    <w:rsid w:val="00D24C71"/>
    <w:rsid w:val="00D259EC"/>
    <w:rsid w:val="00D46258"/>
    <w:rsid w:val="00D6595A"/>
    <w:rsid w:val="00D808F2"/>
    <w:rsid w:val="00D938F5"/>
    <w:rsid w:val="00D94F99"/>
    <w:rsid w:val="00D967E7"/>
    <w:rsid w:val="00DA735A"/>
    <w:rsid w:val="00DB1CC4"/>
    <w:rsid w:val="00DB4AE6"/>
    <w:rsid w:val="00DB5454"/>
    <w:rsid w:val="00DB6DBC"/>
    <w:rsid w:val="00DD3227"/>
    <w:rsid w:val="00DD7202"/>
    <w:rsid w:val="00DE384C"/>
    <w:rsid w:val="00DF4328"/>
    <w:rsid w:val="00DF5738"/>
    <w:rsid w:val="00E0553C"/>
    <w:rsid w:val="00E327BB"/>
    <w:rsid w:val="00E45CC1"/>
    <w:rsid w:val="00E54DDB"/>
    <w:rsid w:val="00E63E66"/>
    <w:rsid w:val="00E71550"/>
    <w:rsid w:val="00E74067"/>
    <w:rsid w:val="00E8458F"/>
    <w:rsid w:val="00EC470E"/>
    <w:rsid w:val="00ED7663"/>
    <w:rsid w:val="00EF5C13"/>
    <w:rsid w:val="00F071F6"/>
    <w:rsid w:val="00F51ACB"/>
    <w:rsid w:val="00F520C0"/>
    <w:rsid w:val="00F67A14"/>
    <w:rsid w:val="00F708B1"/>
    <w:rsid w:val="00F7110E"/>
    <w:rsid w:val="00F8634A"/>
    <w:rsid w:val="00FA25FA"/>
    <w:rsid w:val="00FA48A7"/>
    <w:rsid w:val="00FD5C7A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BA07"/>
  <w15:chartTrackingRefBased/>
  <w15:docId w15:val="{3EB8A760-47E9-4D9D-9B36-4A5E51B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42A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D17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71D1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71D17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71D17"/>
    <w:rPr>
      <w:sz w:val="24"/>
      <w:szCs w:val="24"/>
      <w:lang w:val="es-ES_tradnl"/>
    </w:rPr>
  </w:style>
  <w:style w:type="character" w:styleId="Nmerodepgina">
    <w:name w:val="page number"/>
    <w:uiPriority w:val="99"/>
    <w:semiHidden/>
    <w:unhideWhenUsed/>
    <w:rsid w:val="00771D17"/>
  </w:style>
  <w:style w:type="paragraph" w:styleId="Textodeglobo">
    <w:name w:val="Balloon Text"/>
    <w:basedOn w:val="Normal"/>
    <w:link w:val="TextodegloboCar"/>
    <w:uiPriority w:val="99"/>
    <w:semiHidden/>
    <w:unhideWhenUsed/>
    <w:rsid w:val="00472F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72F29"/>
    <w:rPr>
      <w:rFonts w:ascii="Segoe UI" w:hAnsi="Segoe UI" w:cs="Segoe UI"/>
      <w:sz w:val="18"/>
      <w:szCs w:val="18"/>
      <w:lang w:val="es-ES_tradnl"/>
    </w:rPr>
  </w:style>
  <w:style w:type="paragraph" w:customStyle="1" w:styleId="temas">
    <w:name w:val="temas"/>
    <w:rsid w:val="002F06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sz w:val="22"/>
      <w:szCs w:val="22"/>
      <w:u w:color="000000"/>
      <w:bdr w:val="nil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F06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2F060F"/>
    <w:rPr>
      <w:rFonts w:ascii="Times New Roman" w:eastAsia="Arial Unicode MS" w:hAnsi="Times New Roman"/>
      <w:bdr w:val="nil"/>
      <w:lang w:val="en-US" w:eastAsia="en-US"/>
    </w:rPr>
  </w:style>
  <w:style w:type="character" w:styleId="Refdenotaalfinal">
    <w:name w:val="endnote reference"/>
    <w:uiPriority w:val="99"/>
    <w:semiHidden/>
    <w:unhideWhenUsed/>
    <w:rsid w:val="002F060F"/>
    <w:rPr>
      <w:vertAlign w:val="superscript"/>
    </w:rPr>
  </w:style>
  <w:style w:type="character" w:customStyle="1" w:styleId="Ttulo3Car">
    <w:name w:val="Título 3 Car"/>
    <w:link w:val="Ttulo3"/>
    <w:uiPriority w:val="9"/>
    <w:semiHidden/>
    <w:rsid w:val="007A42A6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Serrano</dc:creator>
  <cp:keywords/>
  <cp:lastModifiedBy>Daniel Andreu</cp:lastModifiedBy>
  <cp:revision>2</cp:revision>
  <cp:lastPrinted>2017-04-17T09:46:00Z</cp:lastPrinted>
  <dcterms:created xsi:type="dcterms:W3CDTF">2019-05-28T15:01:00Z</dcterms:created>
  <dcterms:modified xsi:type="dcterms:W3CDTF">2019-05-28T15:01:00Z</dcterms:modified>
</cp:coreProperties>
</file>