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58" w:rsidRPr="00D65F7E" w:rsidRDefault="009A5C92" w:rsidP="003E0469">
      <w:pPr>
        <w:spacing w:before="120"/>
        <w:jc w:val="center"/>
        <w:rPr>
          <w:b/>
        </w:rPr>
      </w:pPr>
      <w:bookmarkStart w:id="0" w:name="_GoBack"/>
      <w:bookmarkEnd w:id="0"/>
      <w:r w:rsidRPr="00D65F7E">
        <w:rPr>
          <w:b/>
        </w:rPr>
        <w:t xml:space="preserve">Tema </w:t>
      </w:r>
      <w:r w:rsidR="00FC6CEF" w:rsidRPr="00D65F7E">
        <w:rPr>
          <w:b/>
        </w:rPr>
        <w:t>44</w:t>
      </w:r>
      <w:r w:rsidR="00606A2F" w:rsidRPr="00D65F7E">
        <w:rPr>
          <w:b/>
        </w:rPr>
        <w:t xml:space="preserve"> HIPOTECARIO</w:t>
      </w:r>
    </w:p>
    <w:p w:rsidR="000D589C" w:rsidRDefault="000D589C" w:rsidP="00FC6CEF">
      <w:pPr>
        <w:spacing w:before="120"/>
        <w:jc w:val="both"/>
      </w:pPr>
    </w:p>
    <w:p w:rsidR="000D589C" w:rsidRPr="000D589C" w:rsidRDefault="000D589C" w:rsidP="00FC6CEF">
      <w:pPr>
        <w:spacing w:before="120"/>
        <w:jc w:val="both"/>
        <w:rPr>
          <w:bdr w:val="single" w:sz="4" w:space="0" w:color="auto"/>
        </w:rPr>
      </w:pPr>
      <w:r w:rsidRPr="000D589C">
        <w:rPr>
          <w:b/>
          <w:bdr w:val="single" w:sz="4" w:space="0" w:color="auto"/>
        </w:rPr>
        <w:t>ANOTACIÓN PREVENTIVA DE EMBARGO</w:t>
      </w:r>
    </w:p>
    <w:p w:rsidR="000D589C" w:rsidRDefault="000D589C" w:rsidP="00C25875">
      <w:pPr>
        <w:spacing w:before="120"/>
        <w:jc w:val="both"/>
      </w:pPr>
    </w:p>
    <w:p w:rsidR="00C25875" w:rsidRDefault="00D566C2" w:rsidP="00C25875">
      <w:pPr>
        <w:spacing w:before="120"/>
        <w:jc w:val="both"/>
        <w:rPr>
          <w:i/>
          <w:iCs/>
        </w:rPr>
      </w:pPr>
      <w:r>
        <w:t>E</w:t>
      </w:r>
      <w:r w:rsidRPr="00D65F7E">
        <w:t>s la más frecuente en la práctica</w:t>
      </w:r>
      <w:r>
        <w:t xml:space="preserve">. </w:t>
      </w:r>
      <w:r w:rsidR="00D04519">
        <w:t xml:space="preserve">Es un asiento temporal </w:t>
      </w:r>
      <w:r w:rsidR="00C25875" w:rsidRPr="00D65F7E">
        <w:rPr>
          <w:i/>
          <w:iCs/>
        </w:rPr>
        <w:t>que enerva la eficacia de la fe pública registral en favor de  titulares de situaciones jurídicas no  inscribibles.</w:t>
      </w:r>
    </w:p>
    <w:p w:rsidR="00D04519" w:rsidRPr="00D65F7E" w:rsidRDefault="00D04519" w:rsidP="00C25875">
      <w:pPr>
        <w:spacing w:before="120"/>
        <w:jc w:val="both"/>
      </w:pPr>
    </w:p>
    <w:p w:rsidR="009A5C92" w:rsidRPr="00D0301F" w:rsidRDefault="009A5C92" w:rsidP="00D566C2">
      <w:pPr>
        <w:pStyle w:val="NormalWeb"/>
        <w:spacing w:before="120" w:beforeAutospacing="0" w:after="0" w:afterAutospacing="0"/>
        <w:rPr>
          <w:rFonts w:ascii="Times New Roman" w:hAnsi="Times New Roman"/>
          <w:b/>
          <w:i/>
          <w:color w:val="808080"/>
          <w:sz w:val="24"/>
          <w:szCs w:val="24"/>
        </w:rPr>
      </w:pPr>
      <w:r w:rsidRPr="00D65F7E">
        <w:rPr>
          <w:rFonts w:ascii="Times New Roman" w:hAnsi="Times New Roman"/>
          <w:b/>
          <w:sz w:val="24"/>
          <w:szCs w:val="24"/>
        </w:rPr>
        <w:t>42</w:t>
      </w:r>
      <w:r w:rsidR="00D566C2">
        <w:rPr>
          <w:rFonts w:ascii="Times New Roman" w:hAnsi="Times New Roman"/>
          <w:b/>
          <w:sz w:val="24"/>
          <w:szCs w:val="24"/>
        </w:rPr>
        <w:t>.</w:t>
      </w:r>
      <w:r w:rsidR="00FC6CEF" w:rsidRPr="00D65F7E">
        <w:rPr>
          <w:rFonts w:ascii="Times New Roman" w:hAnsi="Times New Roman"/>
          <w:b/>
          <w:sz w:val="24"/>
          <w:szCs w:val="24"/>
        </w:rPr>
        <w:t xml:space="preserve"> 2 y 3</w:t>
      </w:r>
      <w:r w:rsidR="00C25875" w:rsidRPr="00D65F7E">
        <w:rPr>
          <w:rFonts w:ascii="Times New Roman" w:hAnsi="Times New Roman"/>
          <w:b/>
          <w:sz w:val="24"/>
          <w:szCs w:val="24"/>
        </w:rPr>
        <w:t xml:space="preserve"> LH</w:t>
      </w:r>
      <w:r w:rsidRPr="00D65F7E">
        <w:rPr>
          <w:rFonts w:ascii="Times New Roman" w:hAnsi="Times New Roman"/>
          <w:sz w:val="24"/>
          <w:szCs w:val="24"/>
        </w:rPr>
        <w:t xml:space="preserve"> </w:t>
      </w:r>
      <w:r w:rsidRPr="00D0301F">
        <w:rPr>
          <w:rFonts w:ascii="Times New Roman" w:hAnsi="Times New Roman"/>
          <w:b/>
          <w:i/>
          <w:color w:val="808080"/>
          <w:sz w:val="24"/>
          <w:szCs w:val="24"/>
        </w:rPr>
        <w:t>Podrán pedir anotación preventiva de sus respectivos derechos en el Registro correspondiente:</w:t>
      </w:r>
    </w:p>
    <w:p w:rsidR="009A5C92" w:rsidRPr="00D0301F" w:rsidRDefault="009A5C92" w:rsidP="00D566C2">
      <w:pPr>
        <w:pStyle w:val="NormalWeb"/>
        <w:spacing w:before="120" w:beforeAutospacing="0" w:after="0" w:afterAutospacing="0"/>
        <w:ind w:left="708"/>
        <w:rPr>
          <w:rFonts w:ascii="Times New Roman" w:hAnsi="Times New Roman"/>
          <w:b/>
          <w:i/>
          <w:color w:val="808080"/>
          <w:sz w:val="24"/>
          <w:szCs w:val="24"/>
        </w:rPr>
      </w:pPr>
      <w:r w:rsidRPr="00D0301F">
        <w:rPr>
          <w:rFonts w:ascii="Times New Roman" w:hAnsi="Times New Roman"/>
          <w:b/>
          <w:i/>
          <w:color w:val="808080"/>
          <w:sz w:val="24"/>
          <w:szCs w:val="24"/>
        </w:rPr>
        <w:t>El que obtuviere a su favor mandamiento de embargo que se haya hecho efectivo en bienes inmuebles del deudor.</w:t>
      </w:r>
    </w:p>
    <w:p w:rsidR="009A5C92" w:rsidRPr="00D0301F" w:rsidRDefault="009A5C92" w:rsidP="00D566C2">
      <w:pPr>
        <w:pStyle w:val="NormalWeb"/>
        <w:spacing w:before="120" w:beforeAutospacing="0" w:after="0" w:afterAutospacing="0"/>
        <w:ind w:left="708"/>
        <w:rPr>
          <w:rFonts w:ascii="Times New Roman" w:hAnsi="Times New Roman"/>
          <w:b/>
          <w:i/>
          <w:color w:val="808080"/>
          <w:sz w:val="24"/>
          <w:szCs w:val="24"/>
        </w:rPr>
      </w:pPr>
      <w:r w:rsidRPr="00D0301F">
        <w:rPr>
          <w:rFonts w:ascii="Times New Roman" w:hAnsi="Times New Roman"/>
          <w:b/>
          <w:i/>
          <w:color w:val="808080"/>
          <w:sz w:val="24"/>
          <w:szCs w:val="24"/>
        </w:rPr>
        <w:t xml:space="preserve">El que en cualquier juicio obtuviese sentencia ejecutoria condenando al demandado, la cual deba llevarse a efecto por los trámites establecidos en la </w:t>
      </w:r>
      <w:r w:rsidR="00D566C2" w:rsidRPr="00D0301F">
        <w:rPr>
          <w:rFonts w:ascii="Times New Roman" w:hAnsi="Times New Roman"/>
          <w:b/>
          <w:i/>
          <w:color w:val="808080"/>
          <w:sz w:val="24"/>
          <w:szCs w:val="24"/>
        </w:rPr>
        <w:t>LEC</w:t>
      </w:r>
    </w:p>
    <w:p w:rsidR="00D566C2" w:rsidRDefault="00D566C2" w:rsidP="00D566C2">
      <w:pPr>
        <w:pStyle w:val="NormalWeb"/>
        <w:spacing w:before="120"/>
        <w:rPr>
          <w:rFonts w:ascii="Times New Roman" w:hAnsi="Times New Roman"/>
          <w:b/>
          <w:sz w:val="24"/>
          <w:szCs w:val="24"/>
        </w:rPr>
      </w:pPr>
      <w:r>
        <w:rPr>
          <w:rFonts w:ascii="Times New Roman" w:hAnsi="Times New Roman"/>
          <w:b/>
          <w:sz w:val="24"/>
          <w:szCs w:val="24"/>
        </w:rPr>
        <w:t>NATURALEZA y CLASES</w:t>
      </w:r>
    </w:p>
    <w:p w:rsidR="00A16A0A" w:rsidRDefault="00D566C2" w:rsidP="003E0469">
      <w:pPr>
        <w:pStyle w:val="NormalWeb"/>
        <w:spacing w:before="120" w:beforeAutospacing="0"/>
        <w:ind w:left="708"/>
        <w:rPr>
          <w:rFonts w:ascii="Times New Roman" w:hAnsi="Times New Roman"/>
          <w:sz w:val="24"/>
          <w:szCs w:val="24"/>
        </w:rPr>
      </w:pPr>
      <w:r>
        <w:rPr>
          <w:rFonts w:ascii="Times New Roman" w:hAnsi="Times New Roman"/>
          <w:sz w:val="24"/>
          <w:szCs w:val="24"/>
        </w:rPr>
        <w:t>E</w:t>
      </w:r>
      <w:r w:rsidR="00A16A0A" w:rsidRPr="00D65F7E">
        <w:rPr>
          <w:rFonts w:ascii="Times New Roman" w:hAnsi="Times New Roman"/>
          <w:sz w:val="24"/>
          <w:szCs w:val="24"/>
        </w:rPr>
        <w:t xml:space="preserve">l embargo existe </w:t>
      </w:r>
      <w:r w:rsidR="00FC6CEF" w:rsidRPr="00D65F7E">
        <w:rPr>
          <w:rFonts w:ascii="Times New Roman" w:hAnsi="Times New Roman"/>
          <w:sz w:val="24"/>
          <w:szCs w:val="24"/>
        </w:rPr>
        <w:t xml:space="preserve">desde que se decreta por el </w:t>
      </w:r>
      <w:r w:rsidRPr="00D566C2">
        <w:rPr>
          <w:rFonts w:ascii="Times New Roman" w:hAnsi="Times New Roman"/>
          <w:sz w:val="24"/>
          <w:szCs w:val="24"/>
        </w:rPr>
        <w:t xml:space="preserve">Secretario judicial </w:t>
      </w:r>
      <w:r>
        <w:rPr>
          <w:rFonts w:ascii="Times New Roman" w:hAnsi="Times New Roman"/>
          <w:sz w:val="24"/>
          <w:szCs w:val="24"/>
        </w:rPr>
        <w:t>(</w:t>
      </w:r>
      <w:r w:rsidR="00FC6CEF" w:rsidRPr="00D65F7E">
        <w:rPr>
          <w:rFonts w:ascii="Times New Roman" w:hAnsi="Times New Roman"/>
          <w:sz w:val="24"/>
          <w:szCs w:val="24"/>
        </w:rPr>
        <w:t xml:space="preserve">no </w:t>
      </w:r>
      <w:r w:rsidR="00A16A0A" w:rsidRPr="00D65F7E">
        <w:rPr>
          <w:rFonts w:ascii="Times New Roman" w:hAnsi="Times New Roman"/>
          <w:sz w:val="24"/>
          <w:szCs w:val="24"/>
        </w:rPr>
        <w:t xml:space="preserve">desde </w:t>
      </w:r>
      <w:r>
        <w:rPr>
          <w:rFonts w:ascii="Times New Roman" w:hAnsi="Times New Roman"/>
          <w:sz w:val="24"/>
          <w:szCs w:val="24"/>
        </w:rPr>
        <w:t xml:space="preserve">su </w:t>
      </w:r>
      <w:r w:rsidR="00A16A0A" w:rsidRPr="00D65F7E">
        <w:rPr>
          <w:rFonts w:ascii="Times New Roman" w:hAnsi="Times New Roman"/>
          <w:sz w:val="24"/>
          <w:szCs w:val="24"/>
        </w:rPr>
        <w:t>anota</w:t>
      </w:r>
      <w:r>
        <w:rPr>
          <w:rFonts w:ascii="Times New Roman" w:hAnsi="Times New Roman"/>
          <w:sz w:val="24"/>
          <w:szCs w:val="24"/>
        </w:rPr>
        <w:t xml:space="preserve">ción), </w:t>
      </w:r>
      <w:r w:rsidRPr="00C017A3">
        <w:rPr>
          <w:rFonts w:ascii="Times New Roman" w:hAnsi="Times New Roman"/>
          <w:b/>
          <w:sz w:val="24"/>
          <w:szCs w:val="24"/>
        </w:rPr>
        <w:t>587 LEC</w:t>
      </w:r>
      <w:r w:rsidR="00A16A0A" w:rsidRPr="00D65F7E">
        <w:rPr>
          <w:rFonts w:ascii="Times New Roman" w:hAnsi="Times New Roman"/>
          <w:sz w:val="24"/>
          <w:szCs w:val="24"/>
        </w:rPr>
        <w:t>.</w:t>
      </w:r>
      <w:r w:rsidR="0087015F">
        <w:rPr>
          <w:rFonts w:ascii="Times New Roman" w:hAnsi="Times New Roman"/>
          <w:sz w:val="24"/>
          <w:szCs w:val="24"/>
        </w:rPr>
        <w:t xml:space="preserve"> Por tanto:</w:t>
      </w:r>
    </w:p>
    <w:p w:rsidR="0087015F" w:rsidRDefault="0087015F" w:rsidP="003E0469">
      <w:pPr>
        <w:pStyle w:val="NormalWeb"/>
        <w:spacing w:before="120" w:beforeAutospacing="0"/>
        <w:ind w:left="1416"/>
        <w:rPr>
          <w:rFonts w:ascii="Times New Roman" w:hAnsi="Times New Roman"/>
          <w:sz w:val="24"/>
          <w:szCs w:val="24"/>
        </w:rPr>
      </w:pPr>
      <w:r>
        <w:rPr>
          <w:rFonts w:ascii="Times New Roman" w:hAnsi="Times New Roman"/>
          <w:sz w:val="24"/>
          <w:szCs w:val="24"/>
        </w:rPr>
        <w:t xml:space="preserve">No es asimilable a una “hipoteca judicial”: no otorga al derecho del embargante carácter real. </w:t>
      </w:r>
    </w:p>
    <w:p w:rsidR="0087015F" w:rsidRDefault="0087015F" w:rsidP="003E0469">
      <w:pPr>
        <w:pStyle w:val="NormalWeb"/>
        <w:spacing w:before="120" w:beforeAutospacing="0"/>
        <w:ind w:left="1416"/>
        <w:rPr>
          <w:rFonts w:ascii="Times New Roman" w:hAnsi="Times New Roman"/>
          <w:sz w:val="24"/>
          <w:szCs w:val="24"/>
        </w:rPr>
      </w:pPr>
      <w:r>
        <w:rPr>
          <w:rFonts w:ascii="Times New Roman" w:hAnsi="Times New Roman"/>
          <w:sz w:val="24"/>
          <w:szCs w:val="24"/>
        </w:rPr>
        <w:t xml:space="preserve">Efectos de la anotación embargo (no constitutivos): </w:t>
      </w:r>
    </w:p>
    <w:p w:rsidR="0087015F" w:rsidRDefault="0087015F" w:rsidP="003E0469">
      <w:pPr>
        <w:pStyle w:val="NormalWeb"/>
        <w:spacing w:before="120" w:beforeAutospacing="0"/>
        <w:ind w:left="2124"/>
        <w:rPr>
          <w:rFonts w:ascii="Times New Roman" w:hAnsi="Times New Roman"/>
          <w:sz w:val="24"/>
          <w:szCs w:val="24"/>
        </w:rPr>
      </w:pPr>
      <w:r>
        <w:rPr>
          <w:rFonts w:ascii="Times New Roman" w:hAnsi="Times New Roman"/>
          <w:sz w:val="24"/>
          <w:szCs w:val="24"/>
        </w:rPr>
        <w:t>Publicidad (de la afección</w:t>
      </w:r>
      <w:r w:rsidR="00941E2A">
        <w:rPr>
          <w:rFonts w:ascii="Times New Roman" w:hAnsi="Times New Roman"/>
          <w:sz w:val="24"/>
          <w:szCs w:val="24"/>
        </w:rPr>
        <w:t>/traba</w:t>
      </w:r>
      <w:r>
        <w:rPr>
          <w:rFonts w:ascii="Times New Roman" w:hAnsi="Times New Roman"/>
          <w:sz w:val="24"/>
          <w:szCs w:val="24"/>
        </w:rPr>
        <w:t xml:space="preserve"> del bien a un proceso determinado)</w:t>
      </w:r>
    </w:p>
    <w:p w:rsidR="0087015F" w:rsidRPr="0087015F" w:rsidRDefault="0087015F" w:rsidP="003E0469">
      <w:pPr>
        <w:pStyle w:val="NormalWeb"/>
        <w:spacing w:before="120" w:beforeAutospacing="0"/>
        <w:ind w:left="2124"/>
        <w:rPr>
          <w:rFonts w:ascii="Times New Roman" w:hAnsi="Times New Roman"/>
          <w:sz w:val="24"/>
          <w:szCs w:val="24"/>
        </w:rPr>
      </w:pPr>
      <w:r>
        <w:rPr>
          <w:rFonts w:ascii="Times New Roman" w:hAnsi="Times New Roman"/>
          <w:sz w:val="24"/>
          <w:szCs w:val="24"/>
        </w:rPr>
        <w:t>Otorga preferencia para el cobro (sólo respecto a créditos posteriores a la anotación)</w:t>
      </w:r>
    </w:p>
    <w:p w:rsidR="0087015F" w:rsidRPr="0087015F" w:rsidRDefault="0087015F" w:rsidP="003E0469">
      <w:pPr>
        <w:pStyle w:val="NormalWeb"/>
        <w:spacing w:before="120"/>
        <w:ind w:left="708"/>
        <w:rPr>
          <w:rFonts w:ascii="Times New Roman" w:hAnsi="Times New Roman"/>
          <w:sz w:val="24"/>
          <w:szCs w:val="24"/>
        </w:rPr>
      </w:pPr>
      <w:r w:rsidRPr="00C017A3">
        <w:rPr>
          <w:rFonts w:ascii="Times New Roman" w:hAnsi="Times New Roman"/>
          <w:b/>
          <w:sz w:val="24"/>
          <w:szCs w:val="24"/>
        </w:rPr>
        <w:t>140 RH</w:t>
      </w:r>
      <w:r w:rsidRPr="00D65F7E">
        <w:rPr>
          <w:rFonts w:ascii="Times New Roman" w:hAnsi="Times New Roman"/>
          <w:sz w:val="24"/>
          <w:szCs w:val="24"/>
        </w:rPr>
        <w:t xml:space="preserve"> </w:t>
      </w:r>
      <w:r>
        <w:rPr>
          <w:rFonts w:ascii="Times New Roman" w:hAnsi="Times New Roman"/>
          <w:sz w:val="24"/>
          <w:szCs w:val="24"/>
        </w:rPr>
        <w:t xml:space="preserve"> D</w:t>
      </w:r>
      <w:r w:rsidRPr="00D65F7E">
        <w:rPr>
          <w:rFonts w:ascii="Times New Roman" w:hAnsi="Times New Roman"/>
          <w:sz w:val="24"/>
          <w:szCs w:val="24"/>
        </w:rPr>
        <w:t>istingu</w:t>
      </w:r>
      <w:r>
        <w:rPr>
          <w:rFonts w:ascii="Times New Roman" w:hAnsi="Times New Roman"/>
          <w:sz w:val="24"/>
          <w:szCs w:val="24"/>
        </w:rPr>
        <w:t>e</w:t>
      </w:r>
      <w:r w:rsidRPr="00D65F7E">
        <w:rPr>
          <w:rFonts w:ascii="Times New Roman" w:hAnsi="Times New Roman"/>
          <w:sz w:val="24"/>
          <w:szCs w:val="24"/>
        </w:rPr>
        <w:t xml:space="preserve"> dos clases de </w:t>
      </w:r>
      <w:r w:rsidRPr="0087015F">
        <w:rPr>
          <w:rFonts w:ascii="Times New Roman" w:hAnsi="Times New Roman"/>
          <w:sz w:val="24"/>
          <w:szCs w:val="24"/>
        </w:rPr>
        <w:t xml:space="preserve">embargo: </w:t>
      </w:r>
      <w:r w:rsidR="00C017A3">
        <w:rPr>
          <w:rFonts w:ascii="Times New Roman" w:hAnsi="Times New Roman"/>
          <w:sz w:val="24"/>
          <w:szCs w:val="24"/>
        </w:rPr>
        <w:t xml:space="preserve">JUDICIAL (a su vez, </w:t>
      </w:r>
      <w:r w:rsidRPr="0087015F">
        <w:rPr>
          <w:rFonts w:ascii="Times New Roman" w:hAnsi="Times New Roman"/>
          <w:sz w:val="24"/>
          <w:szCs w:val="24"/>
        </w:rPr>
        <w:t xml:space="preserve">preventivo </w:t>
      </w:r>
      <w:r w:rsidR="00C017A3">
        <w:rPr>
          <w:rFonts w:ascii="Times New Roman" w:hAnsi="Times New Roman"/>
          <w:sz w:val="24"/>
          <w:szCs w:val="24"/>
        </w:rPr>
        <w:t>-</w:t>
      </w:r>
      <w:r w:rsidRPr="0087015F">
        <w:rPr>
          <w:rFonts w:ascii="Times New Roman" w:hAnsi="Times New Roman"/>
          <w:sz w:val="24"/>
          <w:szCs w:val="24"/>
        </w:rPr>
        <w:t>cautelar</w:t>
      </w:r>
      <w:r w:rsidR="00C017A3">
        <w:rPr>
          <w:rFonts w:ascii="Times New Roman" w:hAnsi="Times New Roman"/>
          <w:sz w:val="24"/>
          <w:szCs w:val="24"/>
        </w:rPr>
        <w:t>-</w:t>
      </w:r>
      <w:r w:rsidRPr="0087015F">
        <w:rPr>
          <w:rFonts w:ascii="Times New Roman" w:hAnsi="Times New Roman"/>
          <w:sz w:val="24"/>
          <w:szCs w:val="24"/>
        </w:rPr>
        <w:t xml:space="preserve"> y ejecutivo</w:t>
      </w:r>
      <w:r w:rsidR="00C017A3">
        <w:rPr>
          <w:rFonts w:ascii="Times New Roman" w:hAnsi="Times New Roman"/>
          <w:sz w:val="24"/>
          <w:szCs w:val="24"/>
        </w:rPr>
        <w:t>) y ADMINISTRATIVO (vg apremio fiscal/urbanístico, 65 TRLS)</w:t>
      </w:r>
    </w:p>
    <w:p w:rsidR="000D589C" w:rsidRDefault="000D589C" w:rsidP="00FC6CEF">
      <w:pPr>
        <w:pStyle w:val="NormalWeb"/>
        <w:spacing w:before="120" w:beforeAutospacing="0"/>
        <w:rPr>
          <w:rFonts w:ascii="Times New Roman" w:hAnsi="Times New Roman"/>
          <w:sz w:val="24"/>
          <w:szCs w:val="24"/>
        </w:rPr>
      </w:pPr>
      <w:r w:rsidRPr="000D589C">
        <w:rPr>
          <w:rFonts w:ascii="Times New Roman" w:hAnsi="Times New Roman"/>
          <w:b/>
          <w:sz w:val="24"/>
          <w:szCs w:val="24"/>
          <w:bdr w:val="single" w:sz="4" w:space="0" w:color="auto"/>
        </w:rPr>
        <w:t>PROCEDIMIENTO PARA OBTENERLA</w:t>
      </w:r>
      <w:r w:rsidRPr="000D589C">
        <w:rPr>
          <w:rFonts w:ascii="Times New Roman" w:hAnsi="Times New Roman"/>
          <w:sz w:val="24"/>
          <w:szCs w:val="24"/>
          <w:bdr w:val="single" w:sz="4" w:space="0" w:color="auto"/>
        </w:rPr>
        <w:t xml:space="preserve">  </w:t>
      </w:r>
    </w:p>
    <w:p w:rsidR="00442F1B" w:rsidRPr="00D65F7E" w:rsidRDefault="00442F1B" w:rsidP="00442F1B">
      <w:pPr>
        <w:pStyle w:val="NormalWeb"/>
        <w:spacing w:before="120"/>
        <w:rPr>
          <w:rFonts w:ascii="Times New Roman" w:hAnsi="Times New Roman"/>
          <w:sz w:val="24"/>
          <w:szCs w:val="24"/>
        </w:rPr>
      </w:pPr>
      <w:r w:rsidRPr="009223E5">
        <w:rPr>
          <w:rFonts w:ascii="Times New Roman" w:hAnsi="Times New Roman"/>
          <w:b/>
          <w:sz w:val="24"/>
          <w:szCs w:val="24"/>
        </w:rPr>
        <w:t>629 LEC</w:t>
      </w:r>
      <w:r w:rsidRPr="00D65F7E">
        <w:rPr>
          <w:rFonts w:ascii="Times New Roman" w:hAnsi="Times New Roman"/>
          <w:sz w:val="24"/>
          <w:szCs w:val="24"/>
        </w:rPr>
        <w:t xml:space="preserve"> </w:t>
      </w:r>
      <w:r w:rsidR="00C017A3">
        <w:rPr>
          <w:rFonts w:ascii="Times New Roman" w:hAnsi="Times New Roman"/>
          <w:sz w:val="24"/>
          <w:szCs w:val="24"/>
        </w:rPr>
        <w:t xml:space="preserve"> E</w:t>
      </w:r>
      <w:r w:rsidRPr="00D65F7E">
        <w:rPr>
          <w:rFonts w:ascii="Times New Roman" w:hAnsi="Times New Roman"/>
          <w:sz w:val="24"/>
          <w:szCs w:val="24"/>
        </w:rPr>
        <w:t xml:space="preserve">l </w:t>
      </w:r>
      <w:r w:rsidR="00C017A3">
        <w:rPr>
          <w:rFonts w:ascii="Times New Roman" w:hAnsi="Times New Roman"/>
          <w:sz w:val="24"/>
          <w:szCs w:val="24"/>
        </w:rPr>
        <w:t>Secretario Judicial</w:t>
      </w:r>
      <w:r w:rsidRPr="00D65F7E">
        <w:rPr>
          <w:rFonts w:ascii="Times New Roman" w:hAnsi="Times New Roman"/>
          <w:sz w:val="24"/>
          <w:szCs w:val="24"/>
        </w:rPr>
        <w:t xml:space="preserve">, a instancia del ejecutante, librará </w:t>
      </w:r>
      <w:r w:rsidR="003E0469" w:rsidRPr="003E0469">
        <w:rPr>
          <w:rFonts w:ascii="Times New Roman" w:hAnsi="Times New Roman"/>
          <w:b/>
          <w:sz w:val="24"/>
          <w:szCs w:val="24"/>
        </w:rPr>
        <w:t>MANDAMIENTO</w:t>
      </w:r>
      <w:r w:rsidRPr="00D65F7E">
        <w:rPr>
          <w:rFonts w:ascii="Times New Roman" w:hAnsi="Times New Roman"/>
          <w:sz w:val="24"/>
          <w:szCs w:val="24"/>
        </w:rPr>
        <w:t xml:space="preserve"> para que se haga anotación preventiva de embargo en el R</w:t>
      </w:r>
      <w:r w:rsidR="00C017A3">
        <w:rPr>
          <w:rFonts w:ascii="Times New Roman" w:hAnsi="Times New Roman"/>
          <w:sz w:val="24"/>
          <w:szCs w:val="24"/>
        </w:rPr>
        <w:t>P</w:t>
      </w:r>
      <w:r w:rsidRPr="00D65F7E">
        <w:rPr>
          <w:rFonts w:ascii="Times New Roman" w:hAnsi="Times New Roman"/>
          <w:sz w:val="24"/>
          <w:szCs w:val="24"/>
        </w:rPr>
        <w:t>. El mandamiento será calificado por el Registrador quien conforme al art. 140 RH:</w:t>
      </w:r>
    </w:p>
    <w:p w:rsidR="00442F1B" w:rsidRPr="00C017A3" w:rsidRDefault="00442F1B" w:rsidP="00C017A3">
      <w:pPr>
        <w:pStyle w:val="NormalWeb"/>
        <w:spacing w:before="120"/>
        <w:ind w:left="708"/>
        <w:rPr>
          <w:rFonts w:ascii="Times New Roman" w:hAnsi="Times New Roman"/>
          <w:sz w:val="24"/>
          <w:szCs w:val="24"/>
        </w:rPr>
      </w:pPr>
      <w:r w:rsidRPr="00C017A3">
        <w:rPr>
          <w:rFonts w:ascii="Times New Roman" w:hAnsi="Times New Roman"/>
          <w:sz w:val="24"/>
          <w:szCs w:val="24"/>
        </w:rPr>
        <w:t>Si el bien está inmatriculado</w:t>
      </w:r>
      <w:r w:rsidR="00C017A3">
        <w:rPr>
          <w:rFonts w:ascii="Times New Roman" w:hAnsi="Times New Roman"/>
          <w:sz w:val="24"/>
          <w:szCs w:val="24"/>
        </w:rPr>
        <w:t>,</w:t>
      </w:r>
      <w:r w:rsidRPr="00C017A3">
        <w:rPr>
          <w:rFonts w:ascii="Times New Roman" w:hAnsi="Times New Roman"/>
          <w:sz w:val="24"/>
          <w:szCs w:val="24"/>
        </w:rPr>
        <w:t xml:space="preserve"> practicará la respectiva anotación preventiva.</w:t>
      </w:r>
    </w:p>
    <w:p w:rsidR="00442F1B" w:rsidRPr="00C017A3" w:rsidRDefault="00442F1B" w:rsidP="00C017A3">
      <w:pPr>
        <w:pStyle w:val="NormalWeb"/>
        <w:spacing w:before="120"/>
        <w:ind w:left="708"/>
        <w:rPr>
          <w:rFonts w:ascii="Times New Roman" w:hAnsi="Times New Roman"/>
          <w:sz w:val="24"/>
          <w:szCs w:val="24"/>
        </w:rPr>
      </w:pPr>
      <w:r w:rsidRPr="00C017A3">
        <w:rPr>
          <w:rFonts w:ascii="Times New Roman" w:hAnsi="Times New Roman"/>
          <w:sz w:val="24"/>
          <w:szCs w:val="24"/>
        </w:rPr>
        <w:t xml:space="preserve">Si </w:t>
      </w:r>
      <w:r w:rsidR="00C017A3">
        <w:rPr>
          <w:rFonts w:ascii="Times New Roman" w:hAnsi="Times New Roman"/>
          <w:sz w:val="24"/>
          <w:szCs w:val="24"/>
        </w:rPr>
        <w:t>el</w:t>
      </w:r>
      <w:r w:rsidRPr="00C017A3">
        <w:rPr>
          <w:rFonts w:ascii="Times New Roman" w:hAnsi="Times New Roman"/>
          <w:sz w:val="24"/>
          <w:szCs w:val="24"/>
        </w:rPr>
        <w:t xml:space="preserve"> bienes embargado no consta inscrit</w:t>
      </w:r>
      <w:r w:rsidR="00C017A3">
        <w:rPr>
          <w:rFonts w:ascii="Times New Roman" w:hAnsi="Times New Roman"/>
          <w:sz w:val="24"/>
          <w:szCs w:val="24"/>
        </w:rPr>
        <w:t>o</w:t>
      </w:r>
      <w:r w:rsidRPr="00C017A3">
        <w:rPr>
          <w:rFonts w:ascii="Times New Roman" w:hAnsi="Times New Roman"/>
          <w:sz w:val="24"/>
          <w:szCs w:val="24"/>
        </w:rPr>
        <w:t xml:space="preserve"> se suspenderá la anotación del embargo, y en su lugar se tomará anotación preventiva de suspensión del mismo.</w:t>
      </w:r>
    </w:p>
    <w:p w:rsidR="00442F1B" w:rsidRPr="00C017A3" w:rsidRDefault="00442F1B" w:rsidP="00C017A3">
      <w:pPr>
        <w:pStyle w:val="NormalWeb"/>
        <w:spacing w:before="120"/>
        <w:ind w:left="708"/>
        <w:rPr>
          <w:rFonts w:ascii="Times New Roman" w:hAnsi="Times New Roman"/>
          <w:sz w:val="24"/>
          <w:szCs w:val="24"/>
        </w:rPr>
      </w:pPr>
      <w:r w:rsidRPr="00C017A3">
        <w:rPr>
          <w:rFonts w:ascii="Times New Roman" w:hAnsi="Times New Roman"/>
          <w:sz w:val="24"/>
          <w:szCs w:val="24"/>
        </w:rPr>
        <w:lastRenderedPageBreak/>
        <w:t xml:space="preserve">Si están inscritos a favor de otra persona, </w:t>
      </w:r>
      <w:r w:rsidR="00614A66">
        <w:rPr>
          <w:rFonts w:ascii="Times New Roman" w:hAnsi="Times New Roman"/>
          <w:sz w:val="24"/>
          <w:szCs w:val="24"/>
        </w:rPr>
        <w:t xml:space="preserve">el Registrador </w:t>
      </w:r>
      <w:r w:rsidRPr="00C017A3">
        <w:rPr>
          <w:rFonts w:ascii="Times New Roman" w:hAnsi="Times New Roman"/>
          <w:sz w:val="24"/>
          <w:szCs w:val="24"/>
        </w:rPr>
        <w:t>denegará</w:t>
      </w:r>
      <w:r w:rsidR="00614A66">
        <w:rPr>
          <w:rFonts w:ascii="Times New Roman" w:hAnsi="Times New Roman"/>
          <w:sz w:val="24"/>
          <w:szCs w:val="24"/>
        </w:rPr>
        <w:t xml:space="preserve"> la anotación</w:t>
      </w:r>
      <w:r w:rsidRPr="00C017A3">
        <w:rPr>
          <w:rFonts w:ascii="Times New Roman" w:hAnsi="Times New Roman"/>
          <w:sz w:val="24"/>
          <w:szCs w:val="24"/>
        </w:rPr>
        <w:t>, a no ser 105 R</w:t>
      </w:r>
      <w:r w:rsidR="00C017A3">
        <w:rPr>
          <w:rFonts w:ascii="Times New Roman" w:hAnsi="Times New Roman"/>
          <w:sz w:val="24"/>
          <w:szCs w:val="24"/>
        </w:rPr>
        <w:t>H</w:t>
      </w:r>
      <w:r w:rsidRPr="00C017A3">
        <w:rPr>
          <w:rFonts w:ascii="Times New Roman" w:hAnsi="Times New Roman"/>
          <w:sz w:val="24"/>
          <w:szCs w:val="24"/>
        </w:rPr>
        <w:t xml:space="preserve"> </w:t>
      </w:r>
      <w:r w:rsidR="00C017A3">
        <w:rPr>
          <w:rFonts w:ascii="Times New Roman" w:hAnsi="Times New Roman"/>
          <w:sz w:val="24"/>
          <w:szCs w:val="24"/>
        </w:rPr>
        <w:t>(</w:t>
      </w:r>
      <w:r w:rsidRPr="00C017A3">
        <w:rPr>
          <w:rFonts w:ascii="Times New Roman" w:hAnsi="Times New Roman"/>
          <w:sz w:val="24"/>
          <w:szCs w:val="24"/>
        </w:rPr>
        <w:t>el demandado</w:t>
      </w:r>
      <w:r w:rsidR="00C017A3">
        <w:rPr>
          <w:rFonts w:ascii="Times New Roman" w:hAnsi="Times New Roman"/>
          <w:sz w:val="24"/>
          <w:szCs w:val="24"/>
        </w:rPr>
        <w:t xml:space="preserve"> alegue</w:t>
      </w:r>
      <w:r w:rsidRPr="00C017A3">
        <w:rPr>
          <w:rFonts w:ascii="Times New Roman" w:hAnsi="Times New Roman"/>
          <w:sz w:val="24"/>
          <w:szCs w:val="24"/>
        </w:rPr>
        <w:t xml:space="preserve"> se</w:t>
      </w:r>
      <w:r w:rsidR="00C017A3">
        <w:rPr>
          <w:rFonts w:ascii="Times New Roman" w:hAnsi="Times New Roman"/>
          <w:sz w:val="24"/>
          <w:szCs w:val="24"/>
        </w:rPr>
        <w:t>r</w:t>
      </w:r>
      <w:r w:rsidRPr="00C017A3">
        <w:rPr>
          <w:rFonts w:ascii="Times New Roman" w:hAnsi="Times New Roman"/>
          <w:sz w:val="24"/>
          <w:szCs w:val="24"/>
        </w:rPr>
        <w:t xml:space="preserve"> causahabiente de</w:t>
      </w:r>
      <w:r w:rsidR="00C017A3">
        <w:rPr>
          <w:rFonts w:ascii="Times New Roman" w:hAnsi="Times New Roman"/>
          <w:sz w:val="24"/>
          <w:szCs w:val="24"/>
        </w:rPr>
        <w:t>l titular inscrito</w:t>
      </w:r>
      <w:r w:rsidRPr="00C017A3">
        <w:rPr>
          <w:rFonts w:ascii="Times New Roman" w:hAnsi="Times New Roman"/>
          <w:sz w:val="24"/>
          <w:szCs w:val="24"/>
        </w:rPr>
        <w:t xml:space="preserve"> o result</w:t>
      </w:r>
      <w:r w:rsidR="00C017A3">
        <w:rPr>
          <w:rFonts w:ascii="Times New Roman" w:hAnsi="Times New Roman"/>
          <w:sz w:val="24"/>
          <w:szCs w:val="24"/>
        </w:rPr>
        <w:t>e</w:t>
      </w:r>
      <w:r w:rsidRPr="00C017A3">
        <w:rPr>
          <w:rFonts w:ascii="Times New Roman" w:hAnsi="Times New Roman"/>
          <w:sz w:val="24"/>
          <w:szCs w:val="24"/>
        </w:rPr>
        <w:t xml:space="preserve"> </w:t>
      </w:r>
      <w:r w:rsidR="00C017A3">
        <w:rPr>
          <w:rFonts w:ascii="Times New Roman" w:hAnsi="Times New Roman"/>
          <w:sz w:val="24"/>
          <w:szCs w:val="24"/>
        </w:rPr>
        <w:t>tal</w:t>
      </w:r>
      <w:r w:rsidRPr="00C017A3">
        <w:rPr>
          <w:rFonts w:ascii="Times New Roman" w:hAnsi="Times New Roman"/>
          <w:sz w:val="24"/>
          <w:szCs w:val="24"/>
        </w:rPr>
        <w:t xml:space="preserve"> circunstancia del Registro </w:t>
      </w:r>
      <w:r w:rsidR="00C017A3">
        <w:rPr>
          <w:rFonts w:ascii="Times New Roman" w:hAnsi="Times New Roman"/>
          <w:sz w:val="24"/>
          <w:szCs w:val="24"/>
        </w:rPr>
        <w:t>y</w:t>
      </w:r>
      <w:r w:rsidRPr="00C017A3">
        <w:rPr>
          <w:rFonts w:ascii="Times New Roman" w:hAnsi="Times New Roman"/>
          <w:sz w:val="24"/>
          <w:szCs w:val="24"/>
        </w:rPr>
        <w:t xml:space="preserve"> del documento presentado</w:t>
      </w:r>
      <w:r w:rsidR="00C017A3">
        <w:rPr>
          <w:rFonts w:ascii="Times New Roman" w:hAnsi="Times New Roman"/>
          <w:sz w:val="24"/>
          <w:szCs w:val="24"/>
        </w:rPr>
        <w:t>)</w:t>
      </w:r>
      <w:r w:rsidRPr="00C017A3">
        <w:rPr>
          <w:rFonts w:ascii="Times New Roman" w:hAnsi="Times New Roman"/>
          <w:sz w:val="24"/>
          <w:szCs w:val="24"/>
        </w:rPr>
        <w:t xml:space="preserve">, en cuyo caso solamente </w:t>
      </w:r>
      <w:r w:rsidR="00614A66">
        <w:rPr>
          <w:rFonts w:ascii="Times New Roman" w:hAnsi="Times New Roman"/>
          <w:sz w:val="24"/>
          <w:szCs w:val="24"/>
        </w:rPr>
        <w:t>la</w:t>
      </w:r>
      <w:r w:rsidRPr="00C017A3">
        <w:rPr>
          <w:rFonts w:ascii="Times New Roman" w:hAnsi="Times New Roman"/>
          <w:sz w:val="24"/>
          <w:szCs w:val="24"/>
        </w:rPr>
        <w:t xml:space="preserve"> suspenderá </w:t>
      </w:r>
      <w:r w:rsidR="009223E5">
        <w:rPr>
          <w:rFonts w:ascii="Times New Roman" w:hAnsi="Times New Roman"/>
          <w:sz w:val="24"/>
          <w:szCs w:val="24"/>
        </w:rPr>
        <w:t>(defecto subsanable)</w:t>
      </w:r>
      <w:r w:rsidRPr="00C017A3">
        <w:rPr>
          <w:rFonts w:ascii="Times New Roman" w:hAnsi="Times New Roman"/>
          <w:sz w:val="24"/>
          <w:szCs w:val="24"/>
        </w:rPr>
        <w:t xml:space="preserve">. </w:t>
      </w:r>
    </w:p>
    <w:p w:rsidR="009223E5" w:rsidRPr="00D0301F" w:rsidRDefault="009223E5" w:rsidP="009223E5">
      <w:pPr>
        <w:pStyle w:val="NormalWeb"/>
        <w:spacing w:before="120"/>
        <w:ind w:left="1416"/>
        <w:rPr>
          <w:rFonts w:ascii="Times New Roman" w:hAnsi="Times New Roman"/>
          <w:b/>
          <w:i/>
          <w:color w:val="808080"/>
          <w:sz w:val="24"/>
          <w:szCs w:val="24"/>
        </w:rPr>
      </w:pPr>
      <w:r>
        <w:rPr>
          <w:rFonts w:ascii="Times New Roman" w:hAnsi="Times New Roman"/>
          <w:sz w:val="24"/>
          <w:szCs w:val="24"/>
        </w:rPr>
        <w:t xml:space="preserve">Especialidad </w:t>
      </w:r>
      <w:r w:rsidR="00442F1B" w:rsidRPr="00C017A3">
        <w:rPr>
          <w:rFonts w:ascii="Times New Roman" w:hAnsi="Times New Roman"/>
          <w:sz w:val="24"/>
          <w:szCs w:val="24"/>
        </w:rPr>
        <w:t xml:space="preserve">20 LH </w:t>
      </w:r>
      <w:r>
        <w:rPr>
          <w:rFonts w:ascii="Times New Roman" w:hAnsi="Times New Roman"/>
          <w:sz w:val="24"/>
          <w:szCs w:val="24"/>
        </w:rPr>
        <w:t xml:space="preserve"> </w:t>
      </w:r>
      <w:r w:rsidRPr="00D0301F">
        <w:rPr>
          <w:rFonts w:ascii="Times New Roman" w:hAnsi="Times New Roman"/>
          <w:i/>
          <w:color w:val="808080"/>
          <w:sz w:val="24"/>
          <w:szCs w:val="24"/>
        </w:rPr>
        <w:t>N</w:t>
      </w:r>
      <w:r w:rsidRPr="00D0301F">
        <w:rPr>
          <w:rFonts w:ascii="Times New Roman" w:hAnsi="Times New Roman"/>
          <w:b/>
          <w:i/>
          <w:color w:val="808080"/>
          <w:sz w:val="24"/>
          <w:szCs w:val="24"/>
        </w:rPr>
        <w:t>o podrá tomarse anotación de demanda, embargo o prohibición de disponer, ni cualquier otra prevista en la ley, si el titular registral es persona distinta de aquella contra la cual se ha dirigido el procedimiento. En los procedimientos criminales y en los de decomiso podrá tomarse anotación de embargo preventivo o de prohibición de disponer de los bienes, como medida cautelar, cuando a juicio del juez o tribunal existan indicios racionales de que el verdadero titular de los mismos es el encausado, haciéndolo constar así en el mandamiento.</w:t>
      </w:r>
    </w:p>
    <w:p w:rsidR="009223E5" w:rsidRDefault="009223E5" w:rsidP="00C017A3">
      <w:pPr>
        <w:pStyle w:val="NormalWeb"/>
        <w:spacing w:before="120"/>
        <w:rPr>
          <w:rFonts w:ascii="Times New Roman" w:hAnsi="Times New Roman"/>
          <w:sz w:val="24"/>
          <w:szCs w:val="24"/>
        </w:rPr>
      </w:pPr>
      <w:r w:rsidRPr="009223E5">
        <w:rPr>
          <w:rFonts w:ascii="Times New Roman" w:hAnsi="Times New Roman"/>
          <w:b/>
          <w:sz w:val="24"/>
          <w:szCs w:val="24"/>
        </w:rPr>
        <w:t>144 RH</w:t>
      </w:r>
      <w:r>
        <w:rPr>
          <w:rFonts w:ascii="Times New Roman" w:hAnsi="Times New Roman"/>
          <w:sz w:val="24"/>
          <w:szCs w:val="24"/>
        </w:rPr>
        <w:t xml:space="preserve">  EMBARGO DE BIENES GANANCIALES</w:t>
      </w:r>
    </w:p>
    <w:p w:rsidR="009223E5" w:rsidRDefault="009223E5" w:rsidP="00B216A3">
      <w:pPr>
        <w:pStyle w:val="NormalWeb"/>
        <w:spacing w:before="120"/>
        <w:ind w:left="1416"/>
        <w:rPr>
          <w:rFonts w:ascii="Times New Roman" w:hAnsi="Times New Roman"/>
          <w:sz w:val="24"/>
          <w:szCs w:val="24"/>
        </w:rPr>
      </w:pPr>
      <w:r>
        <w:rPr>
          <w:rFonts w:ascii="Times New Roman" w:hAnsi="Times New Roman"/>
          <w:sz w:val="24"/>
          <w:szCs w:val="24"/>
        </w:rPr>
        <w:t>D</w:t>
      </w:r>
      <w:r w:rsidRPr="00C017A3">
        <w:rPr>
          <w:rFonts w:ascii="Times New Roman" w:hAnsi="Times New Roman"/>
          <w:sz w:val="24"/>
          <w:szCs w:val="24"/>
        </w:rPr>
        <w:t>urante la vigencia de la</w:t>
      </w:r>
      <w:r w:rsidR="00941E2A">
        <w:rPr>
          <w:rFonts w:ascii="Times New Roman" w:hAnsi="Times New Roman"/>
          <w:sz w:val="24"/>
          <w:szCs w:val="24"/>
        </w:rPr>
        <w:t xml:space="preserve"> SG</w:t>
      </w:r>
      <w:r w:rsidRPr="00941E2A">
        <w:rPr>
          <w:rFonts w:ascii="Times New Roman" w:hAnsi="Times New Roman"/>
          <w:i/>
          <w:sz w:val="20"/>
          <w:szCs w:val="20"/>
        </w:rPr>
        <w:t xml:space="preserve"> </w:t>
      </w:r>
      <w:r w:rsidR="00941E2A">
        <w:rPr>
          <w:rFonts w:ascii="Times New Roman" w:hAnsi="Times New Roman"/>
          <w:i/>
          <w:sz w:val="20"/>
          <w:szCs w:val="20"/>
        </w:rPr>
        <w:t>(</w:t>
      </w:r>
      <w:r w:rsidR="00442F1B" w:rsidRPr="00941E2A">
        <w:rPr>
          <w:rFonts w:ascii="Times New Roman" w:hAnsi="Times New Roman"/>
          <w:i/>
          <w:sz w:val="20"/>
          <w:szCs w:val="20"/>
        </w:rPr>
        <w:t>estén inscritos a nombre de ambos cónyuges</w:t>
      </w:r>
      <w:r w:rsidR="00941E2A">
        <w:rPr>
          <w:rFonts w:ascii="Times New Roman" w:hAnsi="Times New Roman"/>
          <w:i/>
          <w:sz w:val="20"/>
          <w:szCs w:val="20"/>
        </w:rPr>
        <w:t xml:space="preserve"> o</w:t>
      </w:r>
      <w:r w:rsidR="00442F1B" w:rsidRPr="00941E2A">
        <w:rPr>
          <w:rFonts w:ascii="Times New Roman" w:hAnsi="Times New Roman"/>
          <w:i/>
          <w:sz w:val="20"/>
          <w:szCs w:val="20"/>
        </w:rPr>
        <w:t xml:space="preserve"> de uno</w:t>
      </w:r>
      <w:r w:rsidR="00941E2A">
        <w:rPr>
          <w:rFonts w:ascii="Times New Roman" w:hAnsi="Times New Roman"/>
          <w:i/>
          <w:sz w:val="20"/>
          <w:szCs w:val="20"/>
        </w:rPr>
        <w:t>,</w:t>
      </w:r>
      <w:r w:rsidR="00442F1B" w:rsidRPr="00941E2A">
        <w:rPr>
          <w:rFonts w:ascii="Times New Roman" w:hAnsi="Times New Roman"/>
          <w:i/>
          <w:sz w:val="20"/>
          <w:szCs w:val="20"/>
        </w:rPr>
        <w:t xml:space="preserve"> con carácter ganancial o presuntivamente ganancial)</w:t>
      </w:r>
      <w:r>
        <w:rPr>
          <w:rFonts w:ascii="Times New Roman" w:hAnsi="Times New Roman"/>
          <w:sz w:val="24"/>
          <w:szCs w:val="24"/>
        </w:rPr>
        <w:t>:</w:t>
      </w:r>
      <w:r w:rsidR="00442F1B" w:rsidRPr="00C017A3">
        <w:rPr>
          <w:rFonts w:ascii="Times New Roman" w:hAnsi="Times New Roman"/>
          <w:sz w:val="24"/>
          <w:szCs w:val="24"/>
        </w:rPr>
        <w:t xml:space="preserve"> deberá constar que la demanda se ha dirigido contra los dos cónyuges</w:t>
      </w:r>
      <w:r w:rsidR="00442F1B" w:rsidRPr="00D65F7E">
        <w:rPr>
          <w:rFonts w:ascii="Times New Roman" w:hAnsi="Times New Roman"/>
          <w:sz w:val="24"/>
          <w:szCs w:val="24"/>
        </w:rPr>
        <w:t xml:space="preserve"> o que estando demandado uno de los cónyuges ha sido notificado al otro </w:t>
      </w:r>
      <w:r>
        <w:rPr>
          <w:rFonts w:ascii="Times New Roman" w:hAnsi="Times New Roman"/>
          <w:sz w:val="24"/>
          <w:szCs w:val="24"/>
        </w:rPr>
        <w:t xml:space="preserve">el embargo </w:t>
      </w:r>
    </w:p>
    <w:p w:rsidR="00442F1B" w:rsidRPr="00D65F7E" w:rsidRDefault="00442F1B" w:rsidP="00B216A3">
      <w:pPr>
        <w:pStyle w:val="NormalWeb"/>
        <w:spacing w:before="120"/>
        <w:ind w:left="1416"/>
        <w:rPr>
          <w:rFonts w:ascii="Times New Roman" w:hAnsi="Times New Roman"/>
          <w:sz w:val="24"/>
          <w:szCs w:val="24"/>
        </w:rPr>
      </w:pPr>
      <w:r w:rsidRPr="00D65F7E">
        <w:rPr>
          <w:rFonts w:ascii="Times New Roman" w:hAnsi="Times New Roman"/>
          <w:sz w:val="24"/>
          <w:szCs w:val="24"/>
        </w:rPr>
        <w:t>Disuelta la sociedad de gananciales</w:t>
      </w:r>
      <w:r w:rsidR="00C73F34">
        <w:rPr>
          <w:rFonts w:ascii="Times New Roman" w:hAnsi="Times New Roman"/>
          <w:sz w:val="24"/>
          <w:szCs w:val="24"/>
        </w:rPr>
        <w:t xml:space="preserve">, </w:t>
      </w:r>
      <w:r w:rsidR="00C73F34" w:rsidRPr="00D65F7E">
        <w:rPr>
          <w:rFonts w:ascii="Times New Roman" w:hAnsi="Times New Roman"/>
          <w:sz w:val="24"/>
          <w:szCs w:val="24"/>
        </w:rPr>
        <w:t>el embargo será anotable</w:t>
      </w:r>
      <w:r w:rsidR="00941E2A">
        <w:rPr>
          <w:rFonts w:ascii="Times New Roman" w:hAnsi="Times New Roman"/>
          <w:sz w:val="24"/>
          <w:szCs w:val="24"/>
        </w:rPr>
        <w:t xml:space="preserve"> si</w:t>
      </w:r>
      <w:r w:rsidR="00C73F34" w:rsidRPr="00D65F7E">
        <w:rPr>
          <w:rFonts w:ascii="Times New Roman" w:hAnsi="Times New Roman"/>
          <w:sz w:val="24"/>
          <w:szCs w:val="24"/>
        </w:rPr>
        <w:t xml:space="preserve"> </w:t>
      </w:r>
      <w:r w:rsidRPr="00D65F7E">
        <w:rPr>
          <w:rFonts w:ascii="Times New Roman" w:hAnsi="Times New Roman"/>
          <w:sz w:val="24"/>
          <w:szCs w:val="24"/>
        </w:rPr>
        <w:t>:</w:t>
      </w:r>
    </w:p>
    <w:p w:rsidR="00442F1B" w:rsidRPr="00D65F7E" w:rsidRDefault="00C73F34" w:rsidP="00B216A3">
      <w:pPr>
        <w:pStyle w:val="NormalWeb"/>
        <w:spacing w:before="120"/>
        <w:ind w:left="2124"/>
        <w:rPr>
          <w:rFonts w:ascii="Times New Roman" w:hAnsi="Times New Roman"/>
          <w:sz w:val="24"/>
          <w:szCs w:val="24"/>
        </w:rPr>
      </w:pPr>
      <w:r>
        <w:rPr>
          <w:rFonts w:ascii="Times New Roman" w:hAnsi="Times New Roman"/>
          <w:sz w:val="24"/>
          <w:szCs w:val="24"/>
        </w:rPr>
        <w:t>(</w:t>
      </w:r>
      <w:r w:rsidR="00442F1B" w:rsidRPr="00D65F7E">
        <w:rPr>
          <w:rFonts w:ascii="Times New Roman" w:hAnsi="Times New Roman"/>
          <w:sz w:val="24"/>
          <w:szCs w:val="24"/>
        </w:rPr>
        <w:t xml:space="preserve">no </w:t>
      </w:r>
      <w:r w:rsidR="00941E2A">
        <w:rPr>
          <w:rFonts w:ascii="Times New Roman" w:hAnsi="Times New Roman"/>
          <w:sz w:val="24"/>
          <w:szCs w:val="24"/>
        </w:rPr>
        <w:t>constando</w:t>
      </w:r>
      <w:r w:rsidR="00442F1B" w:rsidRPr="00D65F7E">
        <w:rPr>
          <w:rFonts w:ascii="Times New Roman" w:hAnsi="Times New Roman"/>
          <w:sz w:val="24"/>
          <w:szCs w:val="24"/>
        </w:rPr>
        <w:t xml:space="preserve"> en el Registro </w:t>
      </w:r>
      <w:r w:rsidR="00941E2A">
        <w:rPr>
          <w:rFonts w:ascii="Times New Roman" w:hAnsi="Times New Roman"/>
          <w:sz w:val="24"/>
          <w:szCs w:val="24"/>
        </w:rPr>
        <w:t>su</w:t>
      </w:r>
      <w:r w:rsidR="00442F1B" w:rsidRPr="00D65F7E">
        <w:rPr>
          <w:rFonts w:ascii="Times New Roman" w:hAnsi="Times New Roman"/>
          <w:sz w:val="24"/>
          <w:szCs w:val="24"/>
        </w:rPr>
        <w:t xml:space="preserve"> liquidación</w:t>
      </w:r>
      <w:r>
        <w:rPr>
          <w:rFonts w:ascii="Times New Roman" w:hAnsi="Times New Roman"/>
          <w:sz w:val="24"/>
          <w:szCs w:val="24"/>
        </w:rPr>
        <w:t>)</w:t>
      </w:r>
      <w:r w:rsidR="00442F1B" w:rsidRPr="00D65F7E">
        <w:rPr>
          <w:rFonts w:ascii="Times New Roman" w:hAnsi="Times New Roman"/>
          <w:sz w:val="24"/>
          <w:szCs w:val="24"/>
        </w:rPr>
        <w:t xml:space="preserve"> consta que la demanda se ha dirigido contra ambos cónyuges</w:t>
      </w:r>
      <w:r w:rsidR="00B216A3">
        <w:rPr>
          <w:rFonts w:ascii="Times New Roman" w:hAnsi="Times New Roman"/>
          <w:sz w:val="24"/>
          <w:szCs w:val="24"/>
        </w:rPr>
        <w:t>/</w:t>
      </w:r>
      <w:r w:rsidR="00442F1B" w:rsidRPr="00D65F7E">
        <w:rPr>
          <w:rFonts w:ascii="Times New Roman" w:hAnsi="Times New Roman"/>
          <w:sz w:val="24"/>
          <w:szCs w:val="24"/>
        </w:rPr>
        <w:t xml:space="preserve">sus herederos. </w:t>
      </w:r>
    </w:p>
    <w:p w:rsidR="00941E2A" w:rsidRDefault="00C73F34" w:rsidP="00B216A3">
      <w:pPr>
        <w:pStyle w:val="NormalWeb"/>
        <w:spacing w:before="120"/>
        <w:ind w:left="2124"/>
        <w:rPr>
          <w:rFonts w:ascii="Times New Roman" w:hAnsi="Times New Roman"/>
          <w:sz w:val="24"/>
          <w:szCs w:val="24"/>
        </w:rPr>
      </w:pPr>
      <w:r>
        <w:rPr>
          <w:rFonts w:ascii="Times New Roman" w:hAnsi="Times New Roman"/>
          <w:sz w:val="24"/>
          <w:szCs w:val="24"/>
        </w:rPr>
        <w:t>(s</w:t>
      </w:r>
      <w:r w:rsidR="00442F1B" w:rsidRPr="00D65F7E">
        <w:rPr>
          <w:rFonts w:ascii="Times New Roman" w:hAnsi="Times New Roman"/>
          <w:sz w:val="24"/>
          <w:szCs w:val="24"/>
        </w:rPr>
        <w:t xml:space="preserve">i consta </w:t>
      </w:r>
      <w:r w:rsidR="00A05505">
        <w:rPr>
          <w:rFonts w:ascii="Times New Roman" w:hAnsi="Times New Roman"/>
          <w:sz w:val="24"/>
          <w:szCs w:val="24"/>
        </w:rPr>
        <w:t>su</w:t>
      </w:r>
      <w:r w:rsidR="00442F1B" w:rsidRPr="00D65F7E">
        <w:rPr>
          <w:rFonts w:ascii="Times New Roman" w:hAnsi="Times New Roman"/>
          <w:sz w:val="24"/>
          <w:szCs w:val="24"/>
        </w:rPr>
        <w:t xml:space="preserve"> liquidación</w:t>
      </w:r>
      <w:r>
        <w:rPr>
          <w:rFonts w:ascii="Times New Roman" w:hAnsi="Times New Roman"/>
          <w:sz w:val="24"/>
          <w:szCs w:val="24"/>
        </w:rPr>
        <w:t>)</w:t>
      </w:r>
      <w:r w:rsidR="00442F1B" w:rsidRPr="00D65F7E">
        <w:rPr>
          <w:rFonts w:ascii="Times New Roman" w:hAnsi="Times New Roman"/>
          <w:sz w:val="24"/>
          <w:szCs w:val="24"/>
        </w:rPr>
        <w:t xml:space="preserve"> </w:t>
      </w:r>
    </w:p>
    <w:p w:rsidR="00941E2A" w:rsidRDefault="00442F1B" w:rsidP="00B216A3">
      <w:pPr>
        <w:pStyle w:val="NormalWeb"/>
        <w:spacing w:before="120"/>
        <w:ind w:left="2124"/>
        <w:rPr>
          <w:rFonts w:ascii="Times New Roman" w:hAnsi="Times New Roman"/>
          <w:sz w:val="24"/>
          <w:szCs w:val="24"/>
        </w:rPr>
      </w:pPr>
      <w:r w:rsidRPr="00D65F7E">
        <w:rPr>
          <w:rFonts w:ascii="Times New Roman" w:hAnsi="Times New Roman"/>
          <w:sz w:val="24"/>
          <w:szCs w:val="24"/>
        </w:rPr>
        <w:t>el bien se adjudica al cónyuge contra el que se dirige la demanda</w:t>
      </w:r>
      <w:r w:rsidR="00A05505">
        <w:rPr>
          <w:rFonts w:ascii="Times New Roman" w:hAnsi="Times New Roman"/>
          <w:sz w:val="24"/>
          <w:szCs w:val="24"/>
        </w:rPr>
        <w:t>/</w:t>
      </w:r>
      <w:r w:rsidRPr="00D65F7E">
        <w:rPr>
          <w:rFonts w:ascii="Times New Roman" w:hAnsi="Times New Roman"/>
          <w:sz w:val="24"/>
          <w:szCs w:val="24"/>
        </w:rPr>
        <w:t xml:space="preserve">ejecución o </w:t>
      </w:r>
    </w:p>
    <w:p w:rsidR="00B216A3" w:rsidRDefault="00442F1B" w:rsidP="00B216A3">
      <w:pPr>
        <w:pStyle w:val="NormalWeb"/>
        <w:spacing w:before="120"/>
        <w:ind w:left="2124"/>
        <w:rPr>
          <w:rFonts w:ascii="Times New Roman" w:hAnsi="Times New Roman"/>
          <w:sz w:val="24"/>
          <w:szCs w:val="24"/>
        </w:rPr>
      </w:pPr>
      <w:r w:rsidRPr="00D65F7E">
        <w:rPr>
          <w:rFonts w:ascii="Times New Roman" w:hAnsi="Times New Roman"/>
          <w:sz w:val="24"/>
          <w:szCs w:val="24"/>
        </w:rPr>
        <w:t xml:space="preserve">del mandamiento resulta la </w:t>
      </w:r>
    </w:p>
    <w:p w:rsidR="00B216A3" w:rsidRDefault="00442F1B" w:rsidP="00B216A3">
      <w:pPr>
        <w:pStyle w:val="NormalWeb"/>
        <w:spacing w:before="120"/>
        <w:ind w:left="2832"/>
        <w:rPr>
          <w:rFonts w:ascii="Times New Roman" w:hAnsi="Times New Roman"/>
          <w:sz w:val="24"/>
          <w:szCs w:val="24"/>
        </w:rPr>
      </w:pPr>
      <w:r w:rsidRPr="00D65F7E">
        <w:rPr>
          <w:rFonts w:ascii="Times New Roman" w:hAnsi="Times New Roman"/>
          <w:sz w:val="24"/>
          <w:szCs w:val="24"/>
        </w:rPr>
        <w:t>responsabilidad del bien por la deuda que motiva el embargo</w:t>
      </w:r>
      <w:r w:rsidR="0050215D">
        <w:rPr>
          <w:rFonts w:ascii="Times New Roman" w:hAnsi="Times New Roman"/>
          <w:sz w:val="24"/>
          <w:szCs w:val="24"/>
        </w:rPr>
        <w:t xml:space="preserve"> y</w:t>
      </w:r>
    </w:p>
    <w:p w:rsidR="00442F1B" w:rsidRPr="00D65F7E" w:rsidRDefault="00442F1B" w:rsidP="00B216A3">
      <w:pPr>
        <w:pStyle w:val="NormalWeb"/>
        <w:spacing w:before="120"/>
        <w:ind w:left="2832"/>
        <w:rPr>
          <w:rFonts w:ascii="Times New Roman" w:hAnsi="Times New Roman"/>
          <w:sz w:val="24"/>
          <w:szCs w:val="24"/>
        </w:rPr>
      </w:pPr>
      <w:r w:rsidRPr="00D65F7E">
        <w:rPr>
          <w:rFonts w:ascii="Times New Roman" w:hAnsi="Times New Roman"/>
          <w:sz w:val="24"/>
          <w:szCs w:val="24"/>
        </w:rPr>
        <w:t>notificación del embargo al cónyuge titular antes del otorgamiento de aquélla.</w:t>
      </w:r>
    </w:p>
    <w:p w:rsidR="00442F1B" w:rsidRPr="00D65F7E" w:rsidRDefault="00442F1B" w:rsidP="00B216A3">
      <w:pPr>
        <w:pStyle w:val="NormalWeb"/>
        <w:spacing w:before="120"/>
        <w:ind w:left="708"/>
        <w:rPr>
          <w:rFonts w:ascii="Times New Roman" w:hAnsi="Times New Roman"/>
          <w:sz w:val="24"/>
          <w:szCs w:val="24"/>
        </w:rPr>
      </w:pPr>
      <w:r w:rsidRPr="00D65F7E">
        <w:rPr>
          <w:rFonts w:ascii="Times New Roman" w:hAnsi="Times New Roman"/>
          <w:sz w:val="24"/>
          <w:szCs w:val="24"/>
        </w:rPr>
        <w:t xml:space="preserve">Tratándose de </w:t>
      </w:r>
      <w:r w:rsidR="00B216A3" w:rsidRPr="00D65F7E">
        <w:rPr>
          <w:rFonts w:ascii="Times New Roman" w:hAnsi="Times New Roman"/>
          <w:sz w:val="24"/>
          <w:szCs w:val="24"/>
        </w:rPr>
        <w:t>VIVIENDA FAMILIAR</w:t>
      </w:r>
      <w:r w:rsidRPr="00D65F7E">
        <w:rPr>
          <w:rFonts w:ascii="Times New Roman" w:hAnsi="Times New Roman"/>
          <w:sz w:val="24"/>
          <w:szCs w:val="24"/>
        </w:rPr>
        <w:t>, el mandamiento debe especificar que la vivienda no tiene tal carácter o constar que el embargo ha sido notificado al cónyuge del titular embargado.</w:t>
      </w:r>
    </w:p>
    <w:p w:rsidR="00442F1B" w:rsidRPr="00D65F7E" w:rsidRDefault="00442F1B" w:rsidP="00B216A3">
      <w:pPr>
        <w:pStyle w:val="NormalWeb"/>
        <w:spacing w:before="120"/>
        <w:ind w:left="708"/>
        <w:rPr>
          <w:rFonts w:ascii="Times New Roman" w:hAnsi="Times New Roman"/>
          <w:sz w:val="24"/>
          <w:szCs w:val="24"/>
        </w:rPr>
      </w:pPr>
      <w:r w:rsidRPr="00D65F7E">
        <w:rPr>
          <w:rFonts w:ascii="Times New Roman" w:hAnsi="Times New Roman"/>
          <w:sz w:val="24"/>
          <w:szCs w:val="24"/>
        </w:rPr>
        <w:t xml:space="preserve">Si son bienes </w:t>
      </w:r>
      <w:r w:rsidR="00B216A3" w:rsidRPr="00D65F7E">
        <w:rPr>
          <w:rFonts w:ascii="Times New Roman" w:hAnsi="Times New Roman"/>
          <w:sz w:val="24"/>
          <w:szCs w:val="24"/>
        </w:rPr>
        <w:t xml:space="preserve">PRIVATIVOS POR CONFESIÓN </w:t>
      </w:r>
      <w:r w:rsidRPr="00D65F7E">
        <w:rPr>
          <w:rFonts w:ascii="Times New Roman" w:hAnsi="Times New Roman"/>
          <w:sz w:val="24"/>
          <w:szCs w:val="24"/>
        </w:rPr>
        <w:t>del art</w:t>
      </w:r>
      <w:r w:rsidR="00B216A3">
        <w:rPr>
          <w:rFonts w:ascii="Times New Roman" w:hAnsi="Times New Roman"/>
          <w:sz w:val="24"/>
          <w:szCs w:val="24"/>
        </w:rPr>
        <w:t xml:space="preserve"> </w:t>
      </w:r>
      <w:r w:rsidRPr="00D65F7E">
        <w:rPr>
          <w:rFonts w:ascii="Times New Roman" w:hAnsi="Times New Roman"/>
          <w:sz w:val="24"/>
          <w:szCs w:val="24"/>
        </w:rPr>
        <w:t>1324 Cc, el embargo es anotable si la demanda se hubiera dirigido contra el cónyuge a cuyo favor aparezcan inscritos los bienes</w:t>
      </w:r>
      <w:r w:rsidR="00B216A3">
        <w:rPr>
          <w:rFonts w:ascii="Times New Roman" w:hAnsi="Times New Roman"/>
          <w:sz w:val="24"/>
          <w:szCs w:val="24"/>
        </w:rPr>
        <w:t xml:space="preserve"> (</w:t>
      </w:r>
      <w:r w:rsidRPr="00D65F7E">
        <w:rPr>
          <w:rFonts w:ascii="Times New Roman" w:hAnsi="Times New Roman"/>
          <w:sz w:val="24"/>
          <w:szCs w:val="24"/>
        </w:rPr>
        <w:t>sea o no el cónyuge deudor</w:t>
      </w:r>
      <w:r w:rsidR="00B216A3">
        <w:rPr>
          <w:rFonts w:ascii="Times New Roman" w:hAnsi="Times New Roman"/>
          <w:sz w:val="24"/>
          <w:szCs w:val="24"/>
        </w:rPr>
        <w:t>)</w:t>
      </w:r>
    </w:p>
    <w:p w:rsidR="00442F1B" w:rsidRPr="00B216A3" w:rsidRDefault="00442F1B" w:rsidP="00442F1B">
      <w:pPr>
        <w:pStyle w:val="NormalWeb"/>
        <w:spacing w:before="120"/>
        <w:rPr>
          <w:rFonts w:ascii="Times New Roman" w:hAnsi="Times New Roman"/>
          <w:sz w:val="24"/>
          <w:szCs w:val="24"/>
        </w:rPr>
      </w:pPr>
      <w:r w:rsidRPr="003E0469">
        <w:rPr>
          <w:rFonts w:ascii="Times New Roman" w:hAnsi="Times New Roman"/>
          <w:b/>
          <w:sz w:val="24"/>
          <w:szCs w:val="24"/>
        </w:rPr>
        <w:t>166 RH</w:t>
      </w:r>
      <w:r w:rsidRPr="00D65F7E">
        <w:rPr>
          <w:rFonts w:ascii="Times New Roman" w:hAnsi="Times New Roman"/>
          <w:sz w:val="24"/>
          <w:szCs w:val="24"/>
        </w:rPr>
        <w:t xml:space="preserve"> </w:t>
      </w:r>
      <w:r w:rsidR="00B216A3" w:rsidRPr="00D65F7E">
        <w:rPr>
          <w:rFonts w:ascii="Times New Roman" w:hAnsi="Times New Roman"/>
          <w:sz w:val="24"/>
          <w:szCs w:val="24"/>
        </w:rPr>
        <w:t xml:space="preserve"> Puede anotarse el </w:t>
      </w:r>
      <w:r w:rsidR="003E0469" w:rsidRPr="00D65F7E">
        <w:rPr>
          <w:rFonts w:ascii="Times New Roman" w:hAnsi="Times New Roman"/>
          <w:sz w:val="24"/>
          <w:szCs w:val="24"/>
        </w:rPr>
        <w:t xml:space="preserve">EMBARGO </w:t>
      </w:r>
      <w:r w:rsidR="003E0469">
        <w:rPr>
          <w:rFonts w:ascii="Times New Roman" w:hAnsi="Times New Roman"/>
          <w:sz w:val="24"/>
          <w:szCs w:val="24"/>
        </w:rPr>
        <w:t xml:space="preserve">DE BIENES DE UN CAUSANTE </w:t>
      </w:r>
      <w:r w:rsidR="00B216A3" w:rsidRPr="003E0469">
        <w:rPr>
          <w:rFonts w:ascii="Times New Roman" w:hAnsi="Times New Roman"/>
          <w:sz w:val="24"/>
          <w:szCs w:val="24"/>
          <w:u w:val="single"/>
        </w:rPr>
        <w:t>por deudas del causante</w:t>
      </w:r>
      <w:r w:rsidR="00B216A3">
        <w:rPr>
          <w:rFonts w:ascii="Times New Roman" w:hAnsi="Times New Roman"/>
          <w:sz w:val="24"/>
          <w:szCs w:val="24"/>
        </w:rPr>
        <w:t>.</w:t>
      </w:r>
      <w:r w:rsidR="00B216A3" w:rsidRPr="00D65F7E">
        <w:rPr>
          <w:rFonts w:ascii="Times New Roman" w:hAnsi="Times New Roman"/>
          <w:sz w:val="24"/>
          <w:szCs w:val="24"/>
        </w:rPr>
        <w:t xml:space="preserve"> </w:t>
      </w:r>
      <w:r w:rsidRPr="00D65F7E">
        <w:rPr>
          <w:rFonts w:ascii="Times New Roman" w:hAnsi="Times New Roman"/>
          <w:sz w:val="24"/>
          <w:szCs w:val="24"/>
        </w:rPr>
        <w:t xml:space="preserve">Si </w:t>
      </w:r>
      <w:r w:rsidR="003E0469" w:rsidRPr="00D65F7E">
        <w:rPr>
          <w:rFonts w:ascii="Times New Roman" w:hAnsi="Times New Roman"/>
          <w:sz w:val="24"/>
          <w:szCs w:val="24"/>
        </w:rPr>
        <w:t xml:space="preserve">es </w:t>
      </w:r>
      <w:r w:rsidR="003E0469" w:rsidRPr="003E0469">
        <w:rPr>
          <w:rFonts w:ascii="Times New Roman" w:hAnsi="Times New Roman"/>
          <w:sz w:val="24"/>
          <w:szCs w:val="24"/>
          <w:u w:val="single"/>
        </w:rPr>
        <w:t>por deudas de heredero/legatario</w:t>
      </w:r>
      <w:r w:rsidR="003E0469" w:rsidRPr="00D65F7E">
        <w:rPr>
          <w:rFonts w:ascii="Times New Roman" w:hAnsi="Times New Roman"/>
          <w:sz w:val="24"/>
          <w:szCs w:val="24"/>
        </w:rPr>
        <w:t xml:space="preserve">, puede anotarse </w:t>
      </w:r>
      <w:r w:rsidRPr="00D65F7E">
        <w:rPr>
          <w:rFonts w:ascii="Times New Roman" w:hAnsi="Times New Roman"/>
          <w:sz w:val="24"/>
          <w:szCs w:val="24"/>
        </w:rPr>
        <w:t>el embargo sobre los inmuebles</w:t>
      </w:r>
      <w:r w:rsidR="00B216A3">
        <w:rPr>
          <w:rFonts w:ascii="Times New Roman" w:hAnsi="Times New Roman"/>
          <w:sz w:val="24"/>
          <w:szCs w:val="24"/>
        </w:rPr>
        <w:t xml:space="preserve"> </w:t>
      </w:r>
      <w:r w:rsidR="00B216A3" w:rsidRPr="00B216A3">
        <w:rPr>
          <w:rFonts w:ascii="Times New Roman" w:hAnsi="Times New Roman"/>
          <w:sz w:val="20"/>
          <w:szCs w:val="20"/>
        </w:rPr>
        <w:t>(del causante)</w:t>
      </w:r>
      <w:r w:rsidRPr="00D65F7E">
        <w:rPr>
          <w:rFonts w:ascii="Times New Roman" w:hAnsi="Times New Roman"/>
          <w:sz w:val="24"/>
          <w:szCs w:val="24"/>
        </w:rPr>
        <w:t xml:space="preserve"> </w:t>
      </w:r>
      <w:r w:rsidRPr="00B216A3">
        <w:rPr>
          <w:rFonts w:ascii="Times New Roman" w:hAnsi="Times New Roman"/>
          <w:i/>
          <w:sz w:val="24"/>
          <w:szCs w:val="24"/>
        </w:rPr>
        <w:t>en la parte que corresponda a</w:t>
      </w:r>
      <w:r w:rsidR="00B216A3" w:rsidRPr="00B216A3">
        <w:rPr>
          <w:rFonts w:ascii="Times New Roman" w:hAnsi="Times New Roman"/>
          <w:i/>
          <w:sz w:val="24"/>
          <w:szCs w:val="24"/>
        </w:rPr>
        <w:t xml:space="preserve"> su</w:t>
      </w:r>
      <w:r w:rsidRPr="00B216A3">
        <w:rPr>
          <w:rFonts w:ascii="Times New Roman" w:hAnsi="Times New Roman"/>
          <w:i/>
          <w:sz w:val="24"/>
          <w:szCs w:val="24"/>
        </w:rPr>
        <w:t xml:space="preserve"> derecho hereditario</w:t>
      </w:r>
      <w:r w:rsidRPr="00D65F7E">
        <w:rPr>
          <w:rFonts w:ascii="Times New Roman" w:hAnsi="Times New Roman"/>
          <w:sz w:val="24"/>
          <w:szCs w:val="24"/>
        </w:rPr>
        <w:t>.</w:t>
      </w:r>
    </w:p>
    <w:p w:rsidR="00442F1B" w:rsidRPr="00B216A3" w:rsidRDefault="00B216A3" w:rsidP="00B216A3">
      <w:pPr>
        <w:pStyle w:val="NormalWeb"/>
        <w:spacing w:before="120"/>
        <w:jc w:val="center"/>
        <w:rPr>
          <w:rFonts w:ascii="Times New Roman" w:hAnsi="Times New Roman"/>
          <w:sz w:val="24"/>
          <w:szCs w:val="24"/>
        </w:rPr>
      </w:pPr>
      <w:r w:rsidRPr="00B216A3">
        <w:rPr>
          <w:rFonts w:ascii="Times New Roman" w:hAnsi="Times New Roman"/>
          <w:sz w:val="24"/>
          <w:szCs w:val="24"/>
        </w:rPr>
        <w:lastRenderedPageBreak/>
        <w:t>CIRCUNSTANCIAS</w:t>
      </w:r>
    </w:p>
    <w:p w:rsidR="00B216A3" w:rsidRPr="00EF73ED" w:rsidRDefault="00B216A3" w:rsidP="00B216A3">
      <w:pPr>
        <w:pStyle w:val="NormalWeb"/>
        <w:spacing w:before="120"/>
        <w:rPr>
          <w:rFonts w:ascii="Times New Roman" w:hAnsi="Times New Roman"/>
          <w:b/>
          <w:i/>
          <w:color w:val="808080"/>
          <w:sz w:val="24"/>
          <w:szCs w:val="24"/>
        </w:rPr>
      </w:pPr>
      <w:r w:rsidRPr="00941E2A">
        <w:rPr>
          <w:rFonts w:ascii="Times New Roman" w:hAnsi="Times New Roman"/>
          <w:sz w:val="24"/>
          <w:szCs w:val="24"/>
        </w:rPr>
        <w:t xml:space="preserve">72 LH </w:t>
      </w:r>
      <w:r w:rsidRPr="00EF73ED">
        <w:rPr>
          <w:rFonts w:ascii="Times New Roman" w:hAnsi="Times New Roman"/>
          <w:i/>
          <w:color w:val="808080"/>
          <w:sz w:val="24"/>
          <w:szCs w:val="24"/>
        </w:rPr>
        <w:t xml:space="preserve">Las anotaciones preventivas contendrán las circunstancias que se exigen para las inscripciones </w:t>
      </w:r>
      <w:r w:rsidRPr="00EF73ED">
        <w:rPr>
          <w:rFonts w:ascii="Times New Roman" w:hAnsi="Times New Roman"/>
          <w:b/>
          <w:i/>
          <w:color w:val="808080"/>
          <w:sz w:val="24"/>
          <w:szCs w:val="24"/>
        </w:rPr>
        <w:t>en cuanto resulten de los títulos</w:t>
      </w:r>
      <w:r w:rsidR="00941E2A" w:rsidRPr="00EF73ED">
        <w:rPr>
          <w:rFonts w:ascii="Times New Roman" w:hAnsi="Times New Roman"/>
          <w:b/>
          <w:i/>
          <w:color w:val="808080"/>
          <w:sz w:val="24"/>
          <w:szCs w:val="24"/>
        </w:rPr>
        <w:t>/</w:t>
      </w:r>
      <w:r w:rsidRPr="00EF73ED">
        <w:rPr>
          <w:rFonts w:ascii="Times New Roman" w:hAnsi="Times New Roman"/>
          <w:b/>
          <w:i/>
          <w:color w:val="808080"/>
          <w:sz w:val="24"/>
          <w:szCs w:val="24"/>
        </w:rPr>
        <w:t>documentos presentados</w:t>
      </w:r>
      <w:r w:rsidRPr="00EF73ED">
        <w:rPr>
          <w:rFonts w:ascii="Times New Roman" w:hAnsi="Times New Roman"/>
          <w:i/>
          <w:color w:val="808080"/>
          <w:sz w:val="24"/>
          <w:szCs w:val="24"/>
        </w:rPr>
        <w:t xml:space="preserve"> para exigir las mismas anotaciones.</w:t>
      </w:r>
    </w:p>
    <w:p w:rsidR="00B216A3" w:rsidRPr="00EF73ED" w:rsidRDefault="00B216A3" w:rsidP="00941E2A">
      <w:pPr>
        <w:pStyle w:val="NormalWeb"/>
        <w:spacing w:before="120"/>
        <w:rPr>
          <w:rFonts w:ascii="Times New Roman" w:hAnsi="Times New Roman"/>
          <w:b/>
          <w:i/>
          <w:color w:val="808080"/>
          <w:sz w:val="24"/>
          <w:szCs w:val="24"/>
        </w:rPr>
      </w:pPr>
      <w:r w:rsidRPr="00EF73ED">
        <w:rPr>
          <w:rFonts w:ascii="Times New Roman" w:hAnsi="Times New Roman"/>
          <w:b/>
          <w:i/>
          <w:color w:val="808080"/>
          <w:sz w:val="24"/>
          <w:szCs w:val="24"/>
        </w:rPr>
        <w:t>Las que deban su origen a providencia de embargo</w:t>
      </w:r>
      <w:r w:rsidR="00941E2A" w:rsidRPr="00EF73ED">
        <w:rPr>
          <w:rFonts w:ascii="Times New Roman" w:hAnsi="Times New Roman"/>
          <w:b/>
          <w:i/>
          <w:color w:val="808080"/>
          <w:sz w:val="24"/>
          <w:szCs w:val="24"/>
        </w:rPr>
        <w:t>/</w:t>
      </w:r>
      <w:r w:rsidRPr="00EF73ED">
        <w:rPr>
          <w:rFonts w:ascii="Times New Roman" w:hAnsi="Times New Roman"/>
          <w:b/>
          <w:i/>
          <w:color w:val="808080"/>
          <w:sz w:val="24"/>
          <w:szCs w:val="24"/>
        </w:rPr>
        <w:t>secuestro expresarán la causa que haya dado lugar a ello, y el importe de la obligación que los hubiere originado.</w:t>
      </w:r>
    </w:p>
    <w:p w:rsidR="00070D1A" w:rsidRDefault="00070D1A" w:rsidP="00070D1A">
      <w:pPr>
        <w:pStyle w:val="NormalWeb"/>
        <w:spacing w:before="120"/>
        <w:ind w:left="708"/>
        <w:rPr>
          <w:rFonts w:ascii="Times New Roman" w:hAnsi="Times New Roman"/>
          <w:sz w:val="24"/>
          <w:szCs w:val="24"/>
        </w:rPr>
      </w:pPr>
      <w:r w:rsidRPr="003E0469">
        <w:rPr>
          <w:rFonts w:ascii="Times New Roman" w:hAnsi="Times New Roman"/>
          <w:b/>
          <w:sz w:val="24"/>
          <w:szCs w:val="24"/>
        </w:rPr>
        <w:t>No es necesari</w:t>
      </w:r>
      <w:r w:rsidR="003E0469">
        <w:rPr>
          <w:rFonts w:ascii="Times New Roman" w:hAnsi="Times New Roman"/>
          <w:b/>
          <w:sz w:val="24"/>
          <w:szCs w:val="24"/>
        </w:rPr>
        <w:t>o</w:t>
      </w:r>
      <w:r w:rsidRPr="003E0469">
        <w:rPr>
          <w:rFonts w:ascii="Times New Roman" w:hAnsi="Times New Roman"/>
          <w:b/>
          <w:sz w:val="24"/>
          <w:szCs w:val="24"/>
        </w:rPr>
        <w:t xml:space="preserve"> distribuir la responsabilidad</w:t>
      </w:r>
      <w:r>
        <w:rPr>
          <w:rFonts w:ascii="Times New Roman" w:hAnsi="Times New Roman"/>
          <w:sz w:val="24"/>
          <w:szCs w:val="24"/>
        </w:rPr>
        <w:t xml:space="preserve"> entre las fincas embargadas</w:t>
      </w:r>
      <w:r w:rsidRPr="00070D1A">
        <w:rPr>
          <w:rFonts w:ascii="Times New Roman" w:hAnsi="Times New Roman"/>
          <w:sz w:val="24"/>
          <w:szCs w:val="24"/>
        </w:rPr>
        <w:t>, a diferencia de lo que ocurre con las hipotecas</w:t>
      </w:r>
    </w:p>
    <w:p w:rsidR="00B216A3" w:rsidRPr="00941E2A" w:rsidRDefault="00941E2A" w:rsidP="00941E2A">
      <w:pPr>
        <w:pStyle w:val="NormalWeb"/>
        <w:spacing w:before="120"/>
        <w:jc w:val="center"/>
        <w:rPr>
          <w:rFonts w:ascii="Times New Roman" w:hAnsi="Times New Roman"/>
          <w:sz w:val="24"/>
          <w:szCs w:val="24"/>
        </w:rPr>
      </w:pPr>
      <w:r>
        <w:rPr>
          <w:rFonts w:ascii="Times New Roman" w:hAnsi="Times New Roman"/>
          <w:sz w:val="24"/>
          <w:szCs w:val="24"/>
        </w:rPr>
        <w:t>CADUCIDAD</w:t>
      </w:r>
    </w:p>
    <w:p w:rsidR="007965C4" w:rsidRPr="00D65F7E" w:rsidRDefault="007965C4" w:rsidP="007965C4">
      <w:pPr>
        <w:pStyle w:val="NormalWeb"/>
        <w:spacing w:before="120" w:beforeAutospacing="0" w:after="0" w:afterAutospacing="0"/>
        <w:rPr>
          <w:rFonts w:ascii="Times New Roman" w:hAnsi="Times New Roman"/>
          <w:sz w:val="24"/>
          <w:szCs w:val="24"/>
        </w:rPr>
      </w:pPr>
      <w:r w:rsidRPr="00D65F7E">
        <w:rPr>
          <w:rFonts w:ascii="Times New Roman" w:hAnsi="Times New Roman"/>
          <w:sz w:val="24"/>
          <w:szCs w:val="24"/>
        </w:rPr>
        <w:t>Hay que distinguir dos escenarios:</w:t>
      </w:r>
    </w:p>
    <w:p w:rsidR="007965C4" w:rsidRPr="00D65F7E" w:rsidRDefault="007965C4" w:rsidP="00941E2A">
      <w:pPr>
        <w:pStyle w:val="NormalWeb"/>
        <w:spacing w:before="120"/>
        <w:ind w:left="708"/>
        <w:rPr>
          <w:rFonts w:ascii="Times New Roman" w:hAnsi="Times New Roman"/>
          <w:sz w:val="24"/>
          <w:szCs w:val="24"/>
        </w:rPr>
      </w:pPr>
      <w:r w:rsidRPr="00D65F7E">
        <w:rPr>
          <w:rFonts w:ascii="Times New Roman" w:hAnsi="Times New Roman"/>
          <w:sz w:val="24"/>
          <w:szCs w:val="24"/>
        </w:rPr>
        <w:t xml:space="preserve">Las anotaciones prorrogadas antes del 8 enero 2001 (fecha de entrada en vigor de la LEC) se consideran indefinidas </w:t>
      </w:r>
      <w:r w:rsidR="00941E2A">
        <w:rPr>
          <w:rFonts w:ascii="Times New Roman" w:hAnsi="Times New Roman"/>
          <w:sz w:val="24"/>
          <w:szCs w:val="24"/>
        </w:rPr>
        <w:t>(</w:t>
      </w:r>
      <w:r w:rsidRPr="00D65F7E">
        <w:rPr>
          <w:rFonts w:ascii="Times New Roman" w:hAnsi="Times New Roman"/>
          <w:sz w:val="24"/>
          <w:szCs w:val="24"/>
        </w:rPr>
        <w:t>no caducan ni se podrán cancelar hasta que se ordene por el juzgado que las prorrogó</w:t>
      </w:r>
      <w:r w:rsidR="00941E2A">
        <w:rPr>
          <w:rFonts w:ascii="Times New Roman" w:hAnsi="Times New Roman"/>
          <w:sz w:val="24"/>
          <w:szCs w:val="24"/>
        </w:rPr>
        <w:t>)</w:t>
      </w:r>
      <w:r w:rsidRPr="00D65F7E">
        <w:rPr>
          <w:rFonts w:ascii="Times New Roman" w:hAnsi="Times New Roman"/>
          <w:sz w:val="24"/>
          <w:szCs w:val="24"/>
        </w:rPr>
        <w:t>.</w:t>
      </w:r>
    </w:p>
    <w:p w:rsidR="00941E2A" w:rsidRPr="00D65F7E" w:rsidRDefault="007965C4" w:rsidP="00941E2A">
      <w:pPr>
        <w:pStyle w:val="NormalWeb"/>
        <w:spacing w:before="120" w:beforeAutospacing="0" w:after="0" w:afterAutospacing="0"/>
        <w:ind w:left="708"/>
        <w:rPr>
          <w:rFonts w:ascii="Times New Roman" w:hAnsi="Times New Roman"/>
          <w:sz w:val="24"/>
          <w:szCs w:val="24"/>
        </w:rPr>
      </w:pPr>
      <w:r w:rsidRPr="00D65F7E">
        <w:rPr>
          <w:rFonts w:ascii="Times New Roman" w:hAnsi="Times New Roman"/>
          <w:sz w:val="24"/>
          <w:szCs w:val="24"/>
        </w:rPr>
        <w:t xml:space="preserve">Las anotaciones </w:t>
      </w:r>
      <w:r w:rsidR="00941E2A">
        <w:rPr>
          <w:rFonts w:ascii="Times New Roman" w:hAnsi="Times New Roman"/>
          <w:sz w:val="24"/>
          <w:szCs w:val="24"/>
        </w:rPr>
        <w:t>prorrogadas</w:t>
      </w:r>
      <w:r w:rsidRPr="00D65F7E">
        <w:rPr>
          <w:rFonts w:ascii="Times New Roman" w:hAnsi="Times New Roman"/>
          <w:sz w:val="24"/>
          <w:szCs w:val="24"/>
        </w:rPr>
        <w:t xml:space="preserve"> después del 8 enero 2001 </w:t>
      </w:r>
      <w:r w:rsidR="00941E2A">
        <w:rPr>
          <w:rFonts w:ascii="Times New Roman" w:hAnsi="Times New Roman"/>
          <w:sz w:val="24"/>
          <w:szCs w:val="24"/>
        </w:rPr>
        <w:t xml:space="preserve">se rigen por </w:t>
      </w:r>
      <w:r w:rsidRPr="00D65F7E">
        <w:rPr>
          <w:rFonts w:ascii="Times New Roman" w:hAnsi="Times New Roman"/>
          <w:sz w:val="24"/>
          <w:szCs w:val="24"/>
        </w:rPr>
        <w:t>86 LH</w:t>
      </w:r>
      <w:r w:rsidR="00941E2A">
        <w:rPr>
          <w:rFonts w:ascii="Times New Roman" w:hAnsi="Times New Roman"/>
          <w:sz w:val="24"/>
          <w:szCs w:val="24"/>
        </w:rPr>
        <w:t>.</w:t>
      </w:r>
    </w:p>
    <w:p w:rsidR="00221728" w:rsidRPr="00D65F7E" w:rsidRDefault="00221728" w:rsidP="00B3414E">
      <w:pPr>
        <w:pStyle w:val="NormalWeb"/>
        <w:spacing w:before="120" w:beforeAutospacing="0" w:after="0" w:afterAutospacing="0"/>
        <w:rPr>
          <w:rFonts w:ascii="Times New Roman" w:hAnsi="Times New Roman"/>
          <w:sz w:val="24"/>
          <w:szCs w:val="24"/>
        </w:rPr>
      </w:pPr>
    </w:p>
    <w:p w:rsidR="000D589C" w:rsidRDefault="000D589C" w:rsidP="000D589C">
      <w:pPr>
        <w:pStyle w:val="NormalWeb"/>
        <w:spacing w:before="120" w:beforeAutospacing="0" w:after="0" w:afterAutospacing="0"/>
        <w:rPr>
          <w:rFonts w:ascii="Times New Roman" w:hAnsi="Times New Roman"/>
          <w:b/>
          <w:sz w:val="24"/>
          <w:szCs w:val="24"/>
        </w:rPr>
      </w:pPr>
      <w:r w:rsidRPr="000D589C">
        <w:rPr>
          <w:rFonts w:ascii="Times New Roman" w:hAnsi="Times New Roman"/>
          <w:b/>
          <w:sz w:val="24"/>
          <w:szCs w:val="24"/>
          <w:bdr w:val="single" w:sz="4" w:space="0" w:color="auto"/>
        </w:rPr>
        <w:t>EFECTOS QUE PRODUCE</w:t>
      </w:r>
    </w:p>
    <w:p w:rsidR="000D589C" w:rsidRDefault="000D589C" w:rsidP="000D589C">
      <w:pPr>
        <w:pStyle w:val="NormalWeb"/>
        <w:spacing w:before="120" w:beforeAutospacing="0" w:after="0" w:afterAutospacing="0"/>
        <w:rPr>
          <w:rFonts w:ascii="Times New Roman" w:hAnsi="Times New Roman"/>
          <w:b/>
          <w:sz w:val="24"/>
          <w:szCs w:val="24"/>
        </w:rPr>
      </w:pPr>
    </w:p>
    <w:p w:rsidR="00435DAC" w:rsidRPr="00D65F7E" w:rsidRDefault="00435DAC" w:rsidP="000D589C">
      <w:pPr>
        <w:pStyle w:val="NormalWeb"/>
        <w:spacing w:before="120" w:beforeAutospacing="0" w:after="0" w:afterAutospacing="0"/>
        <w:rPr>
          <w:rFonts w:ascii="Times New Roman" w:hAnsi="Times New Roman"/>
          <w:sz w:val="24"/>
          <w:szCs w:val="24"/>
        </w:rPr>
      </w:pPr>
      <w:r w:rsidRPr="00D65F7E">
        <w:rPr>
          <w:rFonts w:ascii="Times New Roman" w:hAnsi="Times New Roman"/>
          <w:sz w:val="24"/>
          <w:szCs w:val="24"/>
        </w:rPr>
        <w:t xml:space="preserve">71 LH </w:t>
      </w:r>
      <w:r w:rsidRPr="00EF73ED">
        <w:rPr>
          <w:rFonts w:ascii="Times New Roman" w:hAnsi="Times New Roman"/>
          <w:b/>
          <w:i/>
          <w:color w:val="808080"/>
          <w:sz w:val="24"/>
          <w:szCs w:val="24"/>
        </w:rPr>
        <w:t xml:space="preserve">Los bienes inmuebles o derechos reales anotados podrán ser enajenados o gravados, pero </w:t>
      </w:r>
      <w:r w:rsidR="00291696" w:rsidRPr="00EF73ED">
        <w:rPr>
          <w:rFonts w:ascii="Times New Roman" w:hAnsi="Times New Roman"/>
          <w:b/>
          <w:i/>
          <w:color w:val="808080"/>
          <w:sz w:val="24"/>
          <w:szCs w:val="24"/>
        </w:rPr>
        <w:t xml:space="preserve">SIN PERJUICIO </w:t>
      </w:r>
      <w:r w:rsidRPr="00EF73ED">
        <w:rPr>
          <w:rFonts w:ascii="Times New Roman" w:hAnsi="Times New Roman"/>
          <w:b/>
          <w:i/>
          <w:color w:val="808080"/>
          <w:sz w:val="24"/>
          <w:szCs w:val="24"/>
        </w:rPr>
        <w:t>del derecho de la persona a cuyo favor se haya hecho la anotación</w:t>
      </w:r>
    </w:p>
    <w:p w:rsidR="005142BF" w:rsidRDefault="005142BF" w:rsidP="0050215D">
      <w:pPr>
        <w:pStyle w:val="NormalWeb"/>
        <w:spacing w:before="120" w:beforeAutospacing="0" w:after="0" w:afterAutospacing="0"/>
        <w:rPr>
          <w:rFonts w:ascii="Times New Roman" w:hAnsi="Times New Roman"/>
          <w:sz w:val="24"/>
          <w:szCs w:val="24"/>
        </w:rPr>
      </w:pPr>
    </w:p>
    <w:p w:rsidR="005142BF" w:rsidRDefault="0050215D" w:rsidP="00070D1A">
      <w:pPr>
        <w:pStyle w:val="NormalWeb"/>
        <w:spacing w:before="120" w:beforeAutospacing="0" w:after="0" w:afterAutospacing="0"/>
        <w:ind w:left="708"/>
        <w:rPr>
          <w:rFonts w:ascii="Times New Roman" w:hAnsi="Times New Roman"/>
          <w:sz w:val="24"/>
          <w:szCs w:val="24"/>
        </w:rPr>
      </w:pPr>
      <w:r>
        <w:rPr>
          <w:rFonts w:ascii="Times New Roman" w:hAnsi="Times New Roman"/>
          <w:sz w:val="24"/>
          <w:szCs w:val="24"/>
        </w:rPr>
        <w:t>N</w:t>
      </w:r>
      <w:r w:rsidR="00435DAC" w:rsidRPr="00D65F7E">
        <w:rPr>
          <w:rFonts w:ascii="Times New Roman" w:hAnsi="Times New Roman"/>
          <w:sz w:val="24"/>
          <w:szCs w:val="24"/>
        </w:rPr>
        <w:t xml:space="preserve">o cierra el Registro a actos dispositivos </w:t>
      </w:r>
      <w:r w:rsidR="00123284" w:rsidRPr="00D65F7E">
        <w:rPr>
          <w:rFonts w:ascii="Times New Roman" w:hAnsi="Times New Roman"/>
          <w:sz w:val="24"/>
          <w:szCs w:val="24"/>
        </w:rPr>
        <w:t xml:space="preserve">posteriores </w:t>
      </w:r>
      <w:r w:rsidR="00435DAC" w:rsidRPr="00D65F7E">
        <w:rPr>
          <w:rFonts w:ascii="Times New Roman" w:hAnsi="Times New Roman"/>
          <w:sz w:val="24"/>
          <w:szCs w:val="24"/>
        </w:rPr>
        <w:t>del deudor</w:t>
      </w:r>
      <w:r>
        <w:rPr>
          <w:rFonts w:ascii="Times New Roman" w:hAnsi="Times New Roman"/>
          <w:sz w:val="24"/>
          <w:szCs w:val="24"/>
        </w:rPr>
        <w:t xml:space="preserve"> pero</w:t>
      </w:r>
      <w:r w:rsidR="007632EF" w:rsidRPr="00D65F7E">
        <w:rPr>
          <w:rFonts w:ascii="Times New Roman" w:hAnsi="Times New Roman"/>
          <w:sz w:val="24"/>
          <w:szCs w:val="24"/>
        </w:rPr>
        <w:t xml:space="preserve"> </w:t>
      </w:r>
      <w:r w:rsidR="00291696">
        <w:rPr>
          <w:rFonts w:ascii="Times New Roman" w:hAnsi="Times New Roman"/>
          <w:sz w:val="24"/>
          <w:szCs w:val="24"/>
        </w:rPr>
        <w:t>e</w:t>
      </w:r>
      <w:r w:rsidR="007632EF" w:rsidRPr="00D65F7E">
        <w:rPr>
          <w:rFonts w:ascii="Times New Roman" w:hAnsi="Times New Roman"/>
          <w:sz w:val="24"/>
          <w:szCs w:val="24"/>
        </w:rPr>
        <w:t xml:space="preserve">l tercero adquirente </w:t>
      </w:r>
      <w:r>
        <w:rPr>
          <w:rFonts w:ascii="Times New Roman" w:hAnsi="Times New Roman"/>
          <w:sz w:val="24"/>
          <w:szCs w:val="24"/>
        </w:rPr>
        <w:t xml:space="preserve">“posterior a la anotación” </w:t>
      </w:r>
      <w:r w:rsidR="007632EF" w:rsidRPr="00D65F7E">
        <w:rPr>
          <w:rFonts w:ascii="Times New Roman" w:hAnsi="Times New Roman"/>
          <w:sz w:val="24"/>
          <w:szCs w:val="24"/>
        </w:rPr>
        <w:t>no podrá pretender que no le afecte</w:t>
      </w:r>
      <w:r w:rsidR="00435DAC" w:rsidRPr="00D65F7E">
        <w:rPr>
          <w:rFonts w:ascii="Times New Roman" w:hAnsi="Times New Roman"/>
          <w:sz w:val="24"/>
          <w:szCs w:val="24"/>
        </w:rPr>
        <w:t xml:space="preserve"> el embargo practicado</w:t>
      </w:r>
      <w:r>
        <w:rPr>
          <w:rFonts w:ascii="Times New Roman" w:hAnsi="Times New Roman"/>
          <w:sz w:val="24"/>
          <w:szCs w:val="24"/>
        </w:rPr>
        <w:t xml:space="preserve"> (le faltaría </w:t>
      </w:r>
      <w:r w:rsidR="00435DAC" w:rsidRPr="00D65F7E">
        <w:rPr>
          <w:rFonts w:ascii="Times New Roman" w:hAnsi="Times New Roman"/>
          <w:sz w:val="24"/>
          <w:szCs w:val="24"/>
        </w:rPr>
        <w:t>buena fe</w:t>
      </w:r>
      <w:r>
        <w:rPr>
          <w:rFonts w:ascii="Times New Roman" w:hAnsi="Times New Roman"/>
          <w:sz w:val="24"/>
          <w:szCs w:val="24"/>
        </w:rPr>
        <w:t>)</w:t>
      </w:r>
    </w:p>
    <w:p w:rsidR="005142BF" w:rsidRDefault="005142BF" w:rsidP="00070D1A">
      <w:pPr>
        <w:pStyle w:val="NormalWeb"/>
        <w:spacing w:before="120" w:beforeAutospacing="0" w:after="0" w:afterAutospacing="0"/>
        <w:ind w:left="708"/>
        <w:rPr>
          <w:rFonts w:ascii="Times New Roman" w:hAnsi="Times New Roman"/>
          <w:sz w:val="24"/>
          <w:szCs w:val="24"/>
        </w:rPr>
      </w:pPr>
    </w:p>
    <w:p w:rsidR="0050215D" w:rsidRDefault="0050215D" w:rsidP="00070D1A">
      <w:pPr>
        <w:pStyle w:val="NormalWeb"/>
        <w:spacing w:before="120" w:beforeAutospacing="0" w:after="0" w:afterAutospacing="0"/>
        <w:ind w:left="1416"/>
        <w:rPr>
          <w:rFonts w:ascii="Times New Roman" w:hAnsi="Times New Roman"/>
          <w:sz w:val="24"/>
          <w:szCs w:val="24"/>
        </w:rPr>
      </w:pPr>
      <w:r>
        <w:rPr>
          <w:rFonts w:ascii="Times New Roman" w:hAnsi="Times New Roman"/>
          <w:sz w:val="24"/>
          <w:szCs w:val="24"/>
        </w:rPr>
        <w:t>Ú</w:t>
      </w:r>
      <w:r w:rsidR="00A01EEE" w:rsidRPr="00D65F7E">
        <w:rPr>
          <w:rFonts w:ascii="Times New Roman" w:hAnsi="Times New Roman"/>
          <w:sz w:val="24"/>
          <w:szCs w:val="24"/>
        </w:rPr>
        <w:t xml:space="preserve">nicamente los </w:t>
      </w:r>
      <w:r w:rsidR="00723761" w:rsidRPr="00614A66">
        <w:rPr>
          <w:rFonts w:ascii="Times New Roman" w:hAnsi="Times New Roman"/>
          <w:i/>
          <w:sz w:val="24"/>
          <w:szCs w:val="24"/>
        </w:rPr>
        <w:t>tercero</w:t>
      </w:r>
      <w:r w:rsidR="00A01EEE" w:rsidRPr="00614A66">
        <w:rPr>
          <w:rFonts w:ascii="Times New Roman" w:hAnsi="Times New Roman"/>
          <w:i/>
          <w:sz w:val="24"/>
          <w:szCs w:val="24"/>
        </w:rPr>
        <w:t>s que adquieran</w:t>
      </w:r>
      <w:r w:rsidR="00A01EEE" w:rsidRPr="00D65F7E">
        <w:rPr>
          <w:rFonts w:ascii="Times New Roman" w:hAnsi="Times New Roman"/>
          <w:sz w:val="24"/>
          <w:szCs w:val="24"/>
        </w:rPr>
        <w:t xml:space="preserve"> </w:t>
      </w:r>
      <w:r w:rsidR="00614A66">
        <w:rPr>
          <w:rFonts w:ascii="Times New Roman" w:hAnsi="Times New Roman"/>
          <w:sz w:val="24"/>
          <w:szCs w:val="24"/>
        </w:rPr>
        <w:t xml:space="preserve">antes de la </w:t>
      </w:r>
      <w:r w:rsidR="00A01EEE" w:rsidRPr="00D65F7E">
        <w:rPr>
          <w:rFonts w:ascii="Times New Roman" w:hAnsi="Times New Roman"/>
          <w:sz w:val="24"/>
          <w:szCs w:val="24"/>
        </w:rPr>
        <w:t xml:space="preserve">traba </w:t>
      </w:r>
      <w:r w:rsidR="00614A66">
        <w:rPr>
          <w:rFonts w:ascii="Times New Roman" w:hAnsi="Times New Roman"/>
          <w:sz w:val="24"/>
          <w:szCs w:val="24"/>
        </w:rPr>
        <w:t xml:space="preserve">ó después (pero </w:t>
      </w:r>
      <w:r w:rsidR="00614A66" w:rsidRPr="00614A66">
        <w:rPr>
          <w:rFonts w:ascii="Times New Roman" w:hAnsi="Times New Roman"/>
          <w:i/>
          <w:sz w:val="24"/>
          <w:szCs w:val="24"/>
        </w:rPr>
        <w:t>antes</w:t>
      </w:r>
      <w:r w:rsidR="00A01EEE" w:rsidRPr="00614A66">
        <w:rPr>
          <w:rFonts w:ascii="Times New Roman" w:hAnsi="Times New Roman"/>
          <w:i/>
          <w:sz w:val="24"/>
          <w:szCs w:val="24"/>
        </w:rPr>
        <w:t xml:space="preserve"> de la anotación</w:t>
      </w:r>
      <w:r w:rsidR="00723761" w:rsidRPr="00D65F7E">
        <w:rPr>
          <w:rFonts w:ascii="Times New Roman" w:hAnsi="Times New Roman"/>
          <w:sz w:val="24"/>
          <w:szCs w:val="24"/>
        </w:rPr>
        <w:t>, siempre que sean</w:t>
      </w:r>
      <w:r w:rsidR="00A01EEE" w:rsidRPr="00D65F7E">
        <w:rPr>
          <w:rFonts w:ascii="Times New Roman" w:hAnsi="Times New Roman"/>
          <w:sz w:val="24"/>
          <w:szCs w:val="24"/>
        </w:rPr>
        <w:t xml:space="preserve"> de buena fe</w:t>
      </w:r>
      <w:r>
        <w:rPr>
          <w:rFonts w:ascii="Times New Roman" w:hAnsi="Times New Roman"/>
          <w:sz w:val="24"/>
          <w:szCs w:val="24"/>
        </w:rPr>
        <w:t xml:space="preserve"> </w:t>
      </w:r>
      <w:r w:rsidR="00723761" w:rsidRPr="00D65F7E">
        <w:rPr>
          <w:rFonts w:ascii="Times New Roman" w:hAnsi="Times New Roman"/>
          <w:sz w:val="24"/>
          <w:szCs w:val="24"/>
        </w:rPr>
        <w:t>porque</w:t>
      </w:r>
      <w:r w:rsidR="00A01EEE" w:rsidRPr="00D65F7E">
        <w:rPr>
          <w:rFonts w:ascii="Times New Roman" w:hAnsi="Times New Roman"/>
          <w:sz w:val="24"/>
          <w:szCs w:val="24"/>
        </w:rPr>
        <w:t xml:space="preserve"> descono</w:t>
      </w:r>
      <w:r w:rsidR="00723761" w:rsidRPr="00D65F7E">
        <w:rPr>
          <w:rFonts w:ascii="Times New Roman" w:hAnsi="Times New Roman"/>
          <w:sz w:val="24"/>
          <w:szCs w:val="24"/>
        </w:rPr>
        <w:t>zcan</w:t>
      </w:r>
      <w:r w:rsidR="00A01EEE" w:rsidRPr="00D65F7E">
        <w:rPr>
          <w:rFonts w:ascii="Times New Roman" w:hAnsi="Times New Roman"/>
          <w:sz w:val="24"/>
          <w:szCs w:val="24"/>
        </w:rPr>
        <w:t xml:space="preserve"> la existencia del embargo</w:t>
      </w:r>
      <w:r>
        <w:rPr>
          <w:rFonts w:ascii="Times New Roman" w:hAnsi="Times New Roman"/>
          <w:sz w:val="24"/>
          <w:szCs w:val="24"/>
        </w:rPr>
        <w:t>)</w:t>
      </w:r>
      <w:r w:rsidR="005142BF">
        <w:rPr>
          <w:rFonts w:ascii="Times New Roman" w:hAnsi="Times New Roman"/>
          <w:sz w:val="24"/>
          <w:szCs w:val="24"/>
        </w:rPr>
        <w:t>,</w:t>
      </w:r>
      <w:r>
        <w:rPr>
          <w:rFonts w:ascii="Times New Roman" w:hAnsi="Times New Roman"/>
          <w:sz w:val="24"/>
          <w:szCs w:val="24"/>
        </w:rPr>
        <w:t xml:space="preserve"> podrán verse protegidos</w:t>
      </w:r>
      <w:r w:rsidR="005142BF">
        <w:rPr>
          <w:rFonts w:ascii="Times New Roman" w:hAnsi="Times New Roman"/>
          <w:sz w:val="24"/>
          <w:szCs w:val="24"/>
        </w:rPr>
        <w:t xml:space="preserve"> ex 34 LH.</w:t>
      </w:r>
    </w:p>
    <w:p w:rsidR="003E0469" w:rsidRDefault="003E0469" w:rsidP="00070D1A">
      <w:pPr>
        <w:pStyle w:val="NormalWeb"/>
        <w:spacing w:before="120" w:beforeAutospacing="0"/>
        <w:ind w:left="708"/>
        <w:rPr>
          <w:rFonts w:ascii="Times New Roman" w:hAnsi="Times New Roman"/>
          <w:sz w:val="24"/>
          <w:szCs w:val="24"/>
        </w:rPr>
      </w:pPr>
    </w:p>
    <w:p w:rsidR="00A01EEE" w:rsidRPr="00D65F7E" w:rsidRDefault="00070D1A" w:rsidP="00070D1A">
      <w:pPr>
        <w:pStyle w:val="NormalWeb"/>
        <w:spacing w:before="120" w:beforeAutospacing="0"/>
        <w:ind w:left="708"/>
        <w:rPr>
          <w:rFonts w:ascii="Times New Roman" w:hAnsi="Times New Roman"/>
          <w:sz w:val="24"/>
          <w:szCs w:val="24"/>
        </w:rPr>
      </w:pPr>
      <w:r>
        <w:rPr>
          <w:rFonts w:ascii="Times New Roman" w:hAnsi="Times New Roman"/>
          <w:sz w:val="24"/>
          <w:szCs w:val="24"/>
        </w:rPr>
        <w:t xml:space="preserve">* </w:t>
      </w:r>
      <w:r w:rsidR="005142BF">
        <w:rPr>
          <w:rFonts w:ascii="Times New Roman" w:hAnsi="Times New Roman"/>
          <w:sz w:val="24"/>
          <w:szCs w:val="24"/>
        </w:rPr>
        <w:t>E</w:t>
      </w:r>
      <w:r w:rsidR="00A01EEE" w:rsidRPr="00D65F7E">
        <w:rPr>
          <w:rFonts w:ascii="Times New Roman" w:hAnsi="Times New Roman"/>
          <w:sz w:val="24"/>
          <w:szCs w:val="24"/>
        </w:rPr>
        <w:t xml:space="preserve">l </w:t>
      </w:r>
      <w:r w:rsidR="005142BF">
        <w:rPr>
          <w:rFonts w:ascii="Times New Roman" w:hAnsi="Times New Roman"/>
          <w:sz w:val="24"/>
          <w:szCs w:val="24"/>
        </w:rPr>
        <w:t xml:space="preserve">tercer adquirente </w:t>
      </w:r>
      <w:r w:rsidR="005142BF" w:rsidRPr="00070D1A">
        <w:rPr>
          <w:rFonts w:ascii="Times New Roman" w:hAnsi="Times New Roman"/>
          <w:sz w:val="24"/>
          <w:szCs w:val="24"/>
          <w:u w:val="single"/>
        </w:rPr>
        <w:t>inscribe su derecho antes</w:t>
      </w:r>
      <w:r w:rsidR="005142BF">
        <w:rPr>
          <w:rFonts w:ascii="Times New Roman" w:hAnsi="Times New Roman"/>
          <w:sz w:val="24"/>
          <w:szCs w:val="24"/>
        </w:rPr>
        <w:t xml:space="preserve"> de </w:t>
      </w:r>
      <w:r w:rsidR="003E0469">
        <w:rPr>
          <w:rFonts w:ascii="Times New Roman" w:hAnsi="Times New Roman"/>
          <w:sz w:val="24"/>
          <w:szCs w:val="24"/>
        </w:rPr>
        <w:t xml:space="preserve">la </w:t>
      </w:r>
      <w:r w:rsidR="005142BF">
        <w:rPr>
          <w:rFonts w:ascii="Times New Roman" w:hAnsi="Times New Roman"/>
          <w:sz w:val="24"/>
          <w:szCs w:val="24"/>
        </w:rPr>
        <w:t>anota</w:t>
      </w:r>
      <w:r w:rsidR="003E0469">
        <w:rPr>
          <w:rFonts w:ascii="Times New Roman" w:hAnsi="Times New Roman"/>
          <w:sz w:val="24"/>
          <w:szCs w:val="24"/>
        </w:rPr>
        <w:t>ción d</w:t>
      </w:r>
      <w:r w:rsidR="005142BF">
        <w:rPr>
          <w:rFonts w:ascii="Times New Roman" w:hAnsi="Times New Roman"/>
          <w:sz w:val="24"/>
          <w:szCs w:val="24"/>
        </w:rPr>
        <w:t xml:space="preserve">el embargo. El Registrador deberá denegar la anotación del embargo </w:t>
      </w:r>
      <w:r w:rsidR="00A01EEE" w:rsidRPr="00D65F7E">
        <w:rPr>
          <w:rFonts w:ascii="Times New Roman" w:hAnsi="Times New Roman"/>
          <w:sz w:val="24"/>
          <w:szCs w:val="24"/>
        </w:rPr>
        <w:t>p</w:t>
      </w:r>
      <w:r w:rsidR="00723761" w:rsidRPr="00D65F7E">
        <w:rPr>
          <w:rFonts w:ascii="Times New Roman" w:hAnsi="Times New Roman"/>
          <w:sz w:val="24"/>
          <w:szCs w:val="24"/>
        </w:rPr>
        <w:t>or</w:t>
      </w:r>
      <w:r w:rsidR="00A01EEE" w:rsidRPr="00D65F7E">
        <w:rPr>
          <w:rFonts w:ascii="Times New Roman" w:hAnsi="Times New Roman"/>
          <w:sz w:val="24"/>
          <w:szCs w:val="24"/>
        </w:rPr>
        <w:t>q</w:t>
      </w:r>
      <w:r w:rsidR="00723761" w:rsidRPr="00D65F7E">
        <w:rPr>
          <w:rFonts w:ascii="Times New Roman" w:hAnsi="Times New Roman"/>
          <w:sz w:val="24"/>
          <w:szCs w:val="24"/>
        </w:rPr>
        <w:t>ue</w:t>
      </w:r>
      <w:r w:rsidR="00A01EEE" w:rsidRPr="00D65F7E">
        <w:rPr>
          <w:rFonts w:ascii="Times New Roman" w:hAnsi="Times New Roman"/>
          <w:sz w:val="24"/>
          <w:szCs w:val="24"/>
        </w:rPr>
        <w:t xml:space="preserve"> se incumplirá el princ</w:t>
      </w:r>
      <w:r w:rsidR="00723761" w:rsidRPr="00D65F7E">
        <w:rPr>
          <w:rFonts w:ascii="Times New Roman" w:hAnsi="Times New Roman"/>
          <w:sz w:val="24"/>
          <w:szCs w:val="24"/>
        </w:rPr>
        <w:t>ipio</w:t>
      </w:r>
      <w:r w:rsidR="00A01EEE" w:rsidRPr="00D65F7E">
        <w:rPr>
          <w:rFonts w:ascii="Times New Roman" w:hAnsi="Times New Roman"/>
          <w:sz w:val="24"/>
          <w:szCs w:val="24"/>
        </w:rPr>
        <w:t xml:space="preserve"> de tracto sucesivo</w:t>
      </w:r>
      <w:r w:rsidR="005142BF">
        <w:rPr>
          <w:rFonts w:ascii="Times New Roman" w:hAnsi="Times New Roman"/>
          <w:sz w:val="24"/>
          <w:szCs w:val="24"/>
        </w:rPr>
        <w:t xml:space="preserve"> (</w:t>
      </w:r>
      <w:r w:rsidR="00A01EEE" w:rsidRPr="00D65F7E">
        <w:rPr>
          <w:rFonts w:ascii="Times New Roman" w:hAnsi="Times New Roman"/>
          <w:sz w:val="24"/>
          <w:szCs w:val="24"/>
        </w:rPr>
        <w:t>el bien cuyo embargo se pretende anotar ya no pertenece al deudor embargado</w:t>
      </w:r>
      <w:r w:rsidR="005142BF">
        <w:rPr>
          <w:rFonts w:ascii="Times New Roman" w:hAnsi="Times New Roman"/>
          <w:sz w:val="24"/>
          <w:szCs w:val="24"/>
        </w:rPr>
        <w:t>)</w:t>
      </w:r>
    </w:p>
    <w:p w:rsidR="00723761" w:rsidRPr="00D65F7E" w:rsidRDefault="00070D1A" w:rsidP="00070D1A">
      <w:pPr>
        <w:pStyle w:val="NormalWeb"/>
        <w:spacing w:before="120" w:beforeAutospacing="0"/>
        <w:ind w:left="1416"/>
        <w:rPr>
          <w:rFonts w:ascii="Times New Roman" w:hAnsi="Times New Roman"/>
          <w:sz w:val="24"/>
          <w:szCs w:val="24"/>
        </w:rPr>
      </w:pPr>
      <w:r w:rsidRPr="00070D1A">
        <w:rPr>
          <w:rFonts w:ascii="Times New Roman" w:hAnsi="Times New Roman"/>
          <w:b/>
          <w:sz w:val="24"/>
          <w:szCs w:val="24"/>
        </w:rPr>
        <w:t>E</w:t>
      </w:r>
      <w:r w:rsidR="005142BF" w:rsidRPr="00070D1A">
        <w:rPr>
          <w:rFonts w:ascii="Times New Roman" w:hAnsi="Times New Roman"/>
          <w:b/>
          <w:sz w:val="24"/>
          <w:szCs w:val="24"/>
        </w:rPr>
        <w:t>l</w:t>
      </w:r>
      <w:r w:rsidR="00A01EEE" w:rsidRPr="00070D1A">
        <w:rPr>
          <w:rFonts w:ascii="Times New Roman" w:hAnsi="Times New Roman"/>
          <w:b/>
          <w:sz w:val="24"/>
          <w:szCs w:val="24"/>
        </w:rPr>
        <w:t xml:space="preserve"> acreedor embargante </w:t>
      </w:r>
      <w:r w:rsidRPr="00070D1A">
        <w:rPr>
          <w:rFonts w:ascii="Times New Roman" w:hAnsi="Times New Roman"/>
          <w:b/>
          <w:sz w:val="24"/>
          <w:szCs w:val="24"/>
        </w:rPr>
        <w:t>puede</w:t>
      </w:r>
      <w:r w:rsidR="00A01EEE" w:rsidRPr="00070D1A">
        <w:rPr>
          <w:rFonts w:ascii="Times New Roman" w:hAnsi="Times New Roman"/>
          <w:b/>
          <w:sz w:val="24"/>
          <w:szCs w:val="24"/>
        </w:rPr>
        <w:t xml:space="preserve"> </w:t>
      </w:r>
      <w:r w:rsidR="003E0469">
        <w:rPr>
          <w:rFonts w:ascii="Times New Roman" w:hAnsi="Times New Roman"/>
          <w:b/>
          <w:sz w:val="24"/>
          <w:szCs w:val="24"/>
        </w:rPr>
        <w:t>ir a</w:t>
      </w:r>
      <w:r w:rsidR="00A878B3" w:rsidRPr="003E0469">
        <w:rPr>
          <w:rFonts w:ascii="Times New Roman" w:hAnsi="Times New Roman"/>
          <w:b/>
          <w:sz w:val="24"/>
          <w:szCs w:val="24"/>
        </w:rPr>
        <w:t xml:space="preserve"> juicio ordinario</w:t>
      </w:r>
      <w:r w:rsidR="00A878B3">
        <w:rPr>
          <w:rFonts w:ascii="Times New Roman" w:hAnsi="Times New Roman"/>
          <w:sz w:val="24"/>
          <w:szCs w:val="24"/>
        </w:rPr>
        <w:t xml:space="preserve"> frente al adquirente</w:t>
      </w:r>
      <w:r w:rsidR="00A01EEE" w:rsidRPr="00D65F7E">
        <w:rPr>
          <w:rFonts w:ascii="Times New Roman" w:hAnsi="Times New Roman"/>
          <w:sz w:val="24"/>
          <w:szCs w:val="24"/>
        </w:rPr>
        <w:t xml:space="preserve"> </w:t>
      </w:r>
      <w:r w:rsidR="005142BF">
        <w:rPr>
          <w:rFonts w:ascii="Times New Roman" w:hAnsi="Times New Roman"/>
          <w:sz w:val="24"/>
          <w:szCs w:val="24"/>
        </w:rPr>
        <w:t>(</w:t>
      </w:r>
      <w:r w:rsidR="00A878B3">
        <w:rPr>
          <w:rFonts w:ascii="Times New Roman" w:hAnsi="Times New Roman"/>
          <w:sz w:val="24"/>
          <w:szCs w:val="24"/>
        </w:rPr>
        <w:t>y demostrar que su</w:t>
      </w:r>
      <w:r w:rsidR="00A01EEE" w:rsidRPr="00D65F7E">
        <w:rPr>
          <w:rFonts w:ascii="Times New Roman" w:hAnsi="Times New Roman"/>
          <w:sz w:val="24"/>
          <w:szCs w:val="24"/>
        </w:rPr>
        <w:t xml:space="preserve"> adquisición fue posterior </w:t>
      </w:r>
      <w:r w:rsidR="00A878B3">
        <w:rPr>
          <w:rFonts w:ascii="Times New Roman" w:hAnsi="Times New Roman"/>
          <w:sz w:val="24"/>
          <w:szCs w:val="24"/>
        </w:rPr>
        <w:t xml:space="preserve">-y con mala fe- </w:t>
      </w:r>
      <w:r w:rsidR="00A01EEE" w:rsidRPr="00D65F7E">
        <w:rPr>
          <w:rFonts w:ascii="Times New Roman" w:hAnsi="Times New Roman"/>
          <w:sz w:val="24"/>
          <w:szCs w:val="24"/>
        </w:rPr>
        <w:t>a la traba</w:t>
      </w:r>
      <w:r w:rsidR="005142BF">
        <w:rPr>
          <w:rFonts w:ascii="Times New Roman" w:hAnsi="Times New Roman"/>
          <w:sz w:val="24"/>
          <w:szCs w:val="24"/>
        </w:rPr>
        <w:t>)</w:t>
      </w:r>
      <w:r w:rsidR="00A01EEE" w:rsidRPr="00D65F7E">
        <w:rPr>
          <w:rFonts w:ascii="Times New Roman" w:hAnsi="Times New Roman"/>
          <w:sz w:val="24"/>
          <w:szCs w:val="24"/>
        </w:rPr>
        <w:t xml:space="preserve"> </w:t>
      </w:r>
    </w:p>
    <w:p w:rsidR="00A01EEE" w:rsidRPr="00D65F7E" w:rsidRDefault="00070D1A" w:rsidP="00070D1A">
      <w:pPr>
        <w:pStyle w:val="NormalWeb"/>
        <w:spacing w:before="120" w:beforeAutospacing="0"/>
        <w:ind w:left="708"/>
        <w:rPr>
          <w:rFonts w:ascii="Times New Roman" w:hAnsi="Times New Roman"/>
          <w:sz w:val="24"/>
          <w:szCs w:val="24"/>
        </w:rPr>
      </w:pPr>
      <w:r>
        <w:rPr>
          <w:rFonts w:ascii="Times New Roman" w:hAnsi="Times New Roman"/>
          <w:sz w:val="24"/>
          <w:szCs w:val="24"/>
        </w:rPr>
        <w:lastRenderedPageBreak/>
        <w:t xml:space="preserve">* </w:t>
      </w:r>
      <w:r w:rsidR="00A878B3">
        <w:rPr>
          <w:rFonts w:ascii="Times New Roman" w:hAnsi="Times New Roman"/>
          <w:sz w:val="24"/>
          <w:szCs w:val="24"/>
        </w:rPr>
        <w:t>E</w:t>
      </w:r>
      <w:r w:rsidR="00A878B3" w:rsidRPr="00D65F7E">
        <w:rPr>
          <w:rFonts w:ascii="Times New Roman" w:hAnsi="Times New Roman"/>
          <w:sz w:val="24"/>
          <w:szCs w:val="24"/>
        </w:rPr>
        <w:t xml:space="preserve">l </w:t>
      </w:r>
      <w:r w:rsidR="00A878B3">
        <w:rPr>
          <w:rFonts w:ascii="Times New Roman" w:hAnsi="Times New Roman"/>
          <w:sz w:val="24"/>
          <w:szCs w:val="24"/>
        </w:rPr>
        <w:t xml:space="preserve">tercer adquirente </w:t>
      </w:r>
      <w:r w:rsidR="00A878B3" w:rsidRPr="00070D1A">
        <w:rPr>
          <w:rFonts w:ascii="Times New Roman" w:hAnsi="Times New Roman"/>
          <w:sz w:val="24"/>
          <w:szCs w:val="24"/>
          <w:u w:val="single"/>
        </w:rPr>
        <w:t>inscribe su derecho después</w:t>
      </w:r>
      <w:r w:rsidR="00A878B3">
        <w:rPr>
          <w:rFonts w:ascii="Times New Roman" w:hAnsi="Times New Roman"/>
          <w:sz w:val="24"/>
          <w:szCs w:val="24"/>
        </w:rPr>
        <w:t xml:space="preserve"> de anotado el embargo. Se</w:t>
      </w:r>
      <w:r w:rsidR="00A01EEE" w:rsidRPr="00D65F7E">
        <w:rPr>
          <w:rFonts w:ascii="Times New Roman" w:hAnsi="Times New Roman"/>
          <w:sz w:val="24"/>
          <w:szCs w:val="24"/>
        </w:rPr>
        <w:t xml:space="preserve"> practica </w:t>
      </w:r>
      <w:r w:rsidR="00A878B3">
        <w:rPr>
          <w:rFonts w:ascii="Times New Roman" w:hAnsi="Times New Roman"/>
          <w:sz w:val="24"/>
          <w:szCs w:val="24"/>
        </w:rPr>
        <w:t xml:space="preserve">dicha inscripción </w:t>
      </w:r>
      <w:r w:rsidR="00A01EEE" w:rsidRPr="00D65F7E">
        <w:rPr>
          <w:rFonts w:ascii="Times New Roman" w:hAnsi="Times New Roman"/>
          <w:sz w:val="24"/>
          <w:szCs w:val="24"/>
        </w:rPr>
        <w:t>conforme al art. 71 LH</w:t>
      </w:r>
      <w:r w:rsidR="00A878B3">
        <w:rPr>
          <w:rFonts w:ascii="Times New Roman" w:hAnsi="Times New Roman"/>
          <w:sz w:val="24"/>
          <w:szCs w:val="24"/>
        </w:rPr>
        <w:t xml:space="preserve"> (</w:t>
      </w:r>
      <w:r w:rsidR="00A01EEE" w:rsidRPr="00D65F7E">
        <w:rPr>
          <w:rFonts w:ascii="Times New Roman" w:hAnsi="Times New Roman"/>
          <w:sz w:val="24"/>
          <w:szCs w:val="24"/>
        </w:rPr>
        <w:t>soportando las consecuencias del embargo</w:t>
      </w:r>
      <w:r w:rsidR="00A878B3">
        <w:rPr>
          <w:rFonts w:ascii="Times New Roman" w:hAnsi="Times New Roman"/>
          <w:sz w:val="24"/>
          <w:szCs w:val="24"/>
        </w:rPr>
        <w:t>)</w:t>
      </w:r>
    </w:p>
    <w:p w:rsidR="00070D1A" w:rsidRDefault="00A878B3" w:rsidP="00070D1A">
      <w:pPr>
        <w:pStyle w:val="NormalWeb"/>
        <w:spacing w:before="120" w:beforeAutospacing="0"/>
        <w:ind w:left="1416"/>
        <w:rPr>
          <w:rFonts w:ascii="Times New Roman" w:hAnsi="Times New Roman"/>
          <w:sz w:val="24"/>
          <w:szCs w:val="24"/>
        </w:rPr>
      </w:pPr>
      <w:r>
        <w:rPr>
          <w:rFonts w:ascii="Times New Roman" w:hAnsi="Times New Roman"/>
          <w:sz w:val="24"/>
          <w:szCs w:val="24"/>
        </w:rPr>
        <w:t xml:space="preserve">Si </w:t>
      </w:r>
      <w:r w:rsidR="00614A66" w:rsidRPr="00070D1A">
        <w:rPr>
          <w:rFonts w:ascii="Times New Roman" w:hAnsi="Times New Roman"/>
          <w:b/>
          <w:sz w:val="24"/>
          <w:szCs w:val="24"/>
        </w:rPr>
        <w:t>el</w:t>
      </w:r>
      <w:r w:rsidRPr="00070D1A">
        <w:rPr>
          <w:rFonts w:ascii="Times New Roman" w:hAnsi="Times New Roman"/>
          <w:b/>
          <w:sz w:val="24"/>
          <w:szCs w:val="24"/>
        </w:rPr>
        <w:t xml:space="preserve"> tercero</w:t>
      </w:r>
      <w:r>
        <w:rPr>
          <w:rFonts w:ascii="Times New Roman" w:hAnsi="Times New Roman"/>
          <w:sz w:val="24"/>
          <w:szCs w:val="24"/>
        </w:rPr>
        <w:t xml:space="preserve"> es de fecha </w:t>
      </w:r>
      <w:r w:rsidR="00A01EEE" w:rsidRPr="00D65F7E">
        <w:rPr>
          <w:rFonts w:ascii="Times New Roman" w:hAnsi="Times New Roman"/>
          <w:sz w:val="24"/>
          <w:szCs w:val="24"/>
        </w:rPr>
        <w:t>anterior al</w:t>
      </w:r>
      <w:r>
        <w:rPr>
          <w:rFonts w:ascii="Times New Roman" w:hAnsi="Times New Roman"/>
          <w:sz w:val="24"/>
          <w:szCs w:val="24"/>
        </w:rPr>
        <w:t xml:space="preserve"> embargo</w:t>
      </w:r>
      <w:r w:rsidR="00A01EEE" w:rsidRPr="00D65F7E">
        <w:rPr>
          <w:rFonts w:ascii="Times New Roman" w:hAnsi="Times New Roman"/>
          <w:sz w:val="24"/>
          <w:szCs w:val="24"/>
        </w:rPr>
        <w:t xml:space="preserve"> </w:t>
      </w:r>
      <w:r w:rsidR="00614A66">
        <w:rPr>
          <w:rFonts w:ascii="Times New Roman" w:hAnsi="Times New Roman"/>
          <w:sz w:val="24"/>
          <w:szCs w:val="24"/>
        </w:rPr>
        <w:t xml:space="preserve">(o posterior, pero ignorando la traba entonces aun no anotada) </w:t>
      </w:r>
      <w:r w:rsidRPr="00070D1A">
        <w:rPr>
          <w:rFonts w:ascii="Times New Roman" w:hAnsi="Times New Roman"/>
          <w:b/>
          <w:sz w:val="24"/>
          <w:szCs w:val="24"/>
        </w:rPr>
        <w:t>puede</w:t>
      </w:r>
      <w:r w:rsidR="00A01EEE" w:rsidRPr="00070D1A">
        <w:rPr>
          <w:rFonts w:ascii="Times New Roman" w:hAnsi="Times New Roman"/>
          <w:b/>
          <w:sz w:val="24"/>
          <w:szCs w:val="24"/>
        </w:rPr>
        <w:t xml:space="preserve"> </w:t>
      </w:r>
      <w:r w:rsidR="006B3AAD" w:rsidRPr="00070D1A">
        <w:rPr>
          <w:rFonts w:ascii="Times New Roman" w:hAnsi="Times New Roman"/>
          <w:b/>
          <w:sz w:val="24"/>
          <w:szCs w:val="24"/>
        </w:rPr>
        <w:t>ejercitar</w:t>
      </w:r>
      <w:r w:rsidR="00A01EEE" w:rsidRPr="00D65F7E">
        <w:rPr>
          <w:rFonts w:ascii="Times New Roman" w:hAnsi="Times New Roman"/>
          <w:sz w:val="24"/>
          <w:szCs w:val="24"/>
        </w:rPr>
        <w:t xml:space="preserve"> </w:t>
      </w:r>
      <w:r w:rsidR="00A01EEE" w:rsidRPr="00614A66">
        <w:rPr>
          <w:rFonts w:ascii="Times New Roman" w:hAnsi="Times New Roman"/>
          <w:b/>
          <w:sz w:val="24"/>
          <w:szCs w:val="24"/>
        </w:rPr>
        <w:t>tercería de dominio</w:t>
      </w:r>
      <w:r w:rsidRPr="00614A66">
        <w:rPr>
          <w:rFonts w:ascii="Times New Roman" w:hAnsi="Times New Roman"/>
          <w:b/>
          <w:sz w:val="24"/>
          <w:szCs w:val="24"/>
        </w:rPr>
        <w:t xml:space="preserve"> </w:t>
      </w:r>
      <w:r>
        <w:rPr>
          <w:rFonts w:ascii="Times New Roman" w:hAnsi="Times New Roman"/>
          <w:sz w:val="24"/>
          <w:szCs w:val="24"/>
        </w:rPr>
        <w:t>(</w:t>
      </w:r>
      <w:r w:rsidR="006B3AAD" w:rsidRPr="00D65F7E">
        <w:rPr>
          <w:rFonts w:ascii="Times New Roman" w:hAnsi="Times New Roman"/>
          <w:sz w:val="24"/>
          <w:szCs w:val="24"/>
        </w:rPr>
        <w:t xml:space="preserve">vencerá el </w:t>
      </w:r>
      <w:r w:rsidR="00614A66">
        <w:rPr>
          <w:rFonts w:ascii="Times New Roman" w:hAnsi="Times New Roman"/>
          <w:sz w:val="24"/>
          <w:szCs w:val="24"/>
        </w:rPr>
        <w:t>tercer</w:t>
      </w:r>
      <w:r w:rsidR="006B3AAD" w:rsidRPr="00D65F7E">
        <w:rPr>
          <w:rFonts w:ascii="Times New Roman" w:hAnsi="Times New Roman"/>
          <w:sz w:val="24"/>
          <w:szCs w:val="24"/>
        </w:rPr>
        <w:t>o porque el anotante embargó una cosa ajena</w:t>
      </w:r>
      <w:r>
        <w:rPr>
          <w:rFonts w:ascii="Times New Roman" w:hAnsi="Times New Roman"/>
          <w:sz w:val="24"/>
          <w:szCs w:val="24"/>
        </w:rPr>
        <w:t>)</w:t>
      </w:r>
      <w:r w:rsidR="006B3AAD" w:rsidRPr="00D65F7E">
        <w:rPr>
          <w:rFonts w:ascii="Times New Roman" w:hAnsi="Times New Roman"/>
          <w:sz w:val="24"/>
          <w:szCs w:val="24"/>
        </w:rPr>
        <w:t>.</w:t>
      </w:r>
    </w:p>
    <w:p w:rsidR="00614A66" w:rsidRDefault="00070D1A" w:rsidP="00070D1A">
      <w:pPr>
        <w:pStyle w:val="NormalWeb"/>
        <w:spacing w:before="120" w:beforeAutospacing="0" w:after="0" w:afterAutospacing="0"/>
        <w:rPr>
          <w:rFonts w:ascii="Times New Roman" w:hAnsi="Times New Roman"/>
          <w:sz w:val="24"/>
          <w:szCs w:val="24"/>
        </w:rPr>
      </w:pPr>
      <w:r>
        <w:rPr>
          <w:rFonts w:ascii="Times New Roman" w:hAnsi="Times New Roman"/>
          <w:sz w:val="24"/>
          <w:szCs w:val="24"/>
        </w:rPr>
        <w:t>613 LEC  La AM</w:t>
      </w:r>
      <w:r w:rsidR="00FC5D98">
        <w:rPr>
          <w:rFonts w:ascii="Times New Roman" w:hAnsi="Times New Roman"/>
          <w:sz w:val="24"/>
          <w:szCs w:val="24"/>
        </w:rPr>
        <w:t>PLIACIÓN DEL EMBARGO Se admite sin limitaciones, excepto en un caso</w:t>
      </w:r>
      <w:r>
        <w:rPr>
          <w:rFonts w:ascii="Times New Roman" w:hAnsi="Times New Roman"/>
          <w:sz w:val="24"/>
          <w:szCs w:val="24"/>
        </w:rPr>
        <w:t xml:space="preserve">: </w:t>
      </w:r>
      <w:r w:rsidRPr="00070D1A">
        <w:rPr>
          <w:rFonts w:ascii="Times New Roman" w:hAnsi="Times New Roman"/>
          <w:i/>
          <w:iCs/>
          <w:sz w:val="24"/>
          <w:szCs w:val="24"/>
        </w:rPr>
        <w:t xml:space="preserve">el tercero </w:t>
      </w:r>
      <w:r>
        <w:rPr>
          <w:rFonts w:ascii="Times New Roman" w:hAnsi="Times New Roman"/>
          <w:i/>
          <w:iCs/>
          <w:sz w:val="24"/>
          <w:szCs w:val="24"/>
        </w:rPr>
        <w:t>adquirente</w:t>
      </w:r>
      <w:r w:rsidRPr="00070D1A">
        <w:rPr>
          <w:rFonts w:ascii="Times New Roman" w:hAnsi="Times New Roman"/>
          <w:i/>
          <w:iCs/>
          <w:sz w:val="24"/>
          <w:szCs w:val="24"/>
        </w:rPr>
        <w:t xml:space="preserve"> </w:t>
      </w:r>
      <w:r>
        <w:rPr>
          <w:rFonts w:ascii="Times New Roman" w:hAnsi="Times New Roman"/>
          <w:i/>
          <w:iCs/>
          <w:sz w:val="24"/>
          <w:szCs w:val="24"/>
        </w:rPr>
        <w:t xml:space="preserve">del bien embargado </w:t>
      </w:r>
      <w:r w:rsidRPr="00070D1A">
        <w:rPr>
          <w:rFonts w:ascii="Times New Roman" w:hAnsi="Times New Roman"/>
          <w:i/>
          <w:iCs/>
          <w:sz w:val="24"/>
          <w:szCs w:val="24"/>
        </w:rPr>
        <w:t xml:space="preserve">en </w:t>
      </w:r>
      <w:r>
        <w:rPr>
          <w:rFonts w:ascii="Times New Roman" w:hAnsi="Times New Roman"/>
          <w:i/>
          <w:iCs/>
          <w:sz w:val="24"/>
          <w:szCs w:val="24"/>
        </w:rPr>
        <w:t>“</w:t>
      </w:r>
      <w:r w:rsidRPr="00070D1A">
        <w:rPr>
          <w:rFonts w:ascii="Times New Roman" w:hAnsi="Times New Roman"/>
          <w:i/>
          <w:iCs/>
          <w:sz w:val="24"/>
          <w:szCs w:val="24"/>
        </w:rPr>
        <w:t>otra</w:t>
      </w:r>
      <w:r>
        <w:rPr>
          <w:rFonts w:ascii="Times New Roman" w:hAnsi="Times New Roman"/>
          <w:i/>
          <w:iCs/>
          <w:sz w:val="24"/>
          <w:szCs w:val="24"/>
        </w:rPr>
        <w:t>”</w:t>
      </w:r>
      <w:r w:rsidRPr="00070D1A">
        <w:rPr>
          <w:rFonts w:ascii="Times New Roman" w:hAnsi="Times New Roman"/>
          <w:i/>
          <w:iCs/>
          <w:sz w:val="24"/>
          <w:szCs w:val="24"/>
        </w:rPr>
        <w:t xml:space="preserve"> ejecución</w:t>
      </w:r>
      <w:r w:rsidR="00FC5D98">
        <w:rPr>
          <w:rFonts w:ascii="Times New Roman" w:hAnsi="Times New Roman"/>
          <w:i/>
          <w:iCs/>
          <w:sz w:val="24"/>
          <w:szCs w:val="24"/>
        </w:rPr>
        <w:t xml:space="preserve"> </w:t>
      </w:r>
      <w:r w:rsidR="00FC5D98" w:rsidRPr="003E0469">
        <w:rPr>
          <w:rFonts w:ascii="Times New Roman" w:hAnsi="Times New Roman"/>
          <w:iCs/>
          <w:sz w:val="20"/>
          <w:szCs w:val="20"/>
        </w:rPr>
        <w:t xml:space="preserve">(respecto de él, </w:t>
      </w:r>
      <w:r w:rsidRPr="003E0469">
        <w:rPr>
          <w:rFonts w:ascii="Times New Roman" w:hAnsi="Times New Roman"/>
          <w:iCs/>
          <w:sz w:val="20"/>
          <w:szCs w:val="20"/>
        </w:rPr>
        <w:t xml:space="preserve">operan como límite las cantidades </w:t>
      </w:r>
      <w:r w:rsidR="00FC5D98" w:rsidRPr="003E0469">
        <w:rPr>
          <w:rFonts w:ascii="Times New Roman" w:hAnsi="Times New Roman"/>
          <w:iCs/>
          <w:sz w:val="20"/>
          <w:szCs w:val="20"/>
        </w:rPr>
        <w:t>consignadas</w:t>
      </w:r>
      <w:r w:rsidRPr="003E0469">
        <w:rPr>
          <w:rFonts w:ascii="Times New Roman" w:hAnsi="Times New Roman"/>
          <w:iCs/>
          <w:sz w:val="20"/>
          <w:szCs w:val="20"/>
        </w:rPr>
        <w:t xml:space="preserve"> </w:t>
      </w:r>
      <w:r w:rsidR="00FC5D98" w:rsidRPr="003E0469">
        <w:rPr>
          <w:rFonts w:ascii="Times New Roman" w:hAnsi="Times New Roman"/>
          <w:iCs/>
          <w:sz w:val="20"/>
          <w:szCs w:val="20"/>
        </w:rPr>
        <w:t xml:space="preserve">en la anotación </w:t>
      </w:r>
      <w:r w:rsidRPr="003E0469">
        <w:rPr>
          <w:rFonts w:ascii="Times New Roman" w:hAnsi="Times New Roman"/>
          <w:iCs/>
          <w:sz w:val="20"/>
          <w:szCs w:val="20"/>
        </w:rPr>
        <w:t>para satisfacción del principal, intereses y costas</w:t>
      </w:r>
      <w:r w:rsidR="003E0469">
        <w:rPr>
          <w:rFonts w:ascii="Times New Roman" w:hAnsi="Times New Roman"/>
          <w:iCs/>
          <w:sz w:val="20"/>
          <w:szCs w:val="20"/>
        </w:rPr>
        <w:t xml:space="preserve">... </w:t>
      </w:r>
      <w:r w:rsidRPr="003E0469">
        <w:rPr>
          <w:rFonts w:ascii="Times New Roman" w:hAnsi="Times New Roman"/>
          <w:iCs/>
          <w:sz w:val="20"/>
          <w:szCs w:val="20"/>
        </w:rPr>
        <w:t xml:space="preserve">en la fecha en que aquél </w:t>
      </w:r>
      <w:r w:rsidR="00FC5D98" w:rsidRPr="003E0469">
        <w:rPr>
          <w:rFonts w:ascii="Times New Roman" w:hAnsi="Times New Roman"/>
          <w:iCs/>
          <w:sz w:val="20"/>
          <w:szCs w:val="20"/>
        </w:rPr>
        <w:t xml:space="preserve">hubiera </w:t>
      </w:r>
      <w:r w:rsidRPr="003E0469">
        <w:rPr>
          <w:rFonts w:ascii="Times New Roman" w:hAnsi="Times New Roman"/>
          <w:iCs/>
          <w:sz w:val="20"/>
          <w:szCs w:val="20"/>
        </w:rPr>
        <w:t>inscrito su adquisición)</w:t>
      </w:r>
    </w:p>
    <w:p w:rsidR="00070D1A" w:rsidRPr="00D65F7E" w:rsidRDefault="00070D1A" w:rsidP="00070D1A">
      <w:pPr>
        <w:pStyle w:val="NormalWeb"/>
        <w:spacing w:before="120" w:beforeAutospacing="0" w:after="0" w:afterAutospacing="0"/>
        <w:rPr>
          <w:rFonts w:ascii="Times New Roman" w:hAnsi="Times New Roman"/>
          <w:sz w:val="24"/>
          <w:szCs w:val="24"/>
        </w:rPr>
      </w:pPr>
    </w:p>
    <w:p w:rsidR="000D589C" w:rsidRPr="000D589C" w:rsidRDefault="000D589C" w:rsidP="00FC6CEF">
      <w:pPr>
        <w:pStyle w:val="NormalWeb"/>
        <w:spacing w:before="120" w:beforeAutospacing="0"/>
        <w:rPr>
          <w:rFonts w:ascii="Times New Roman" w:hAnsi="Times New Roman"/>
          <w:b/>
          <w:sz w:val="24"/>
          <w:szCs w:val="24"/>
          <w:bdr w:val="single" w:sz="4" w:space="0" w:color="auto"/>
        </w:rPr>
      </w:pPr>
      <w:r w:rsidRPr="000D589C">
        <w:rPr>
          <w:rFonts w:ascii="Times New Roman" w:hAnsi="Times New Roman"/>
          <w:b/>
          <w:sz w:val="24"/>
          <w:szCs w:val="24"/>
          <w:bdr w:val="single" w:sz="4" w:space="0" w:color="auto"/>
        </w:rPr>
        <w:t>EXAMEN DE LA PRELACIÓN DE CRÉDITOS ANOTADOS</w:t>
      </w:r>
    </w:p>
    <w:p w:rsidR="00B976F3" w:rsidRPr="00B976F3" w:rsidRDefault="00B976F3" w:rsidP="00B976F3">
      <w:pPr>
        <w:spacing w:before="120"/>
        <w:jc w:val="both"/>
      </w:pPr>
      <w:r w:rsidRPr="00B976F3">
        <w:t xml:space="preserve">Si no coincide el rango registral de la anotación con la preferencia sustantiva de los créditos, cabe distinguir </w:t>
      </w:r>
      <w:r>
        <w:t>dos</w:t>
      </w:r>
      <w:r w:rsidRPr="00B976F3">
        <w:t xml:space="preserve"> casos:</w:t>
      </w:r>
    </w:p>
    <w:p w:rsidR="00B976F3" w:rsidRPr="00B976F3" w:rsidRDefault="00B976F3" w:rsidP="00B976F3">
      <w:pPr>
        <w:spacing w:before="120"/>
        <w:jc w:val="both"/>
        <w:rPr>
          <w:b/>
          <w:bCs/>
          <w:i/>
          <w:iCs/>
        </w:rPr>
      </w:pPr>
    </w:p>
    <w:p w:rsidR="00B976F3" w:rsidRPr="00B976F3" w:rsidRDefault="00B976F3" w:rsidP="00B976F3">
      <w:pPr>
        <w:spacing w:before="120"/>
        <w:ind w:left="708"/>
        <w:jc w:val="both"/>
      </w:pPr>
      <w:r w:rsidRPr="00B976F3">
        <w:t>Se ejecuta la anotación pr</w:t>
      </w:r>
      <w:r>
        <w:t>imera</w:t>
      </w:r>
      <w:r w:rsidRPr="00B976F3">
        <w:t xml:space="preserve">: el titular del crédito con preferencia sustantiva, pero que fue anotado después, puede ejercitar una </w:t>
      </w:r>
      <w:r w:rsidRPr="00B976F3">
        <w:rPr>
          <w:i/>
          <w:iCs/>
        </w:rPr>
        <w:t>“</w:t>
      </w:r>
      <w:r w:rsidRPr="00F82E6B">
        <w:rPr>
          <w:b/>
          <w:i/>
          <w:iCs/>
        </w:rPr>
        <w:t>tercería de mejor derecho</w:t>
      </w:r>
      <w:r w:rsidRPr="00B976F3">
        <w:rPr>
          <w:i/>
          <w:iCs/>
        </w:rPr>
        <w:t xml:space="preserve">”, </w:t>
      </w:r>
      <w:r w:rsidRPr="00B976F3">
        <w:t>la cual no suspende la ejecución</w:t>
      </w:r>
      <w:r>
        <w:t xml:space="preserve"> (</w:t>
      </w:r>
      <w:r w:rsidRPr="00B976F3">
        <w:t>estimada</w:t>
      </w:r>
      <w:r>
        <w:t xml:space="preserve"> la tercería</w:t>
      </w:r>
      <w:r w:rsidRPr="00B976F3">
        <w:t xml:space="preserve">, </w:t>
      </w:r>
      <w:r>
        <w:t xml:space="preserve">el juez </w:t>
      </w:r>
      <w:r w:rsidRPr="00B976F3">
        <w:t>determinará el orden en que los respectivos créditos deben ser satisfechos con el metálico obtenido en la ejecución</w:t>
      </w:r>
      <w:r>
        <w:t>)</w:t>
      </w:r>
    </w:p>
    <w:p w:rsidR="00B976F3" w:rsidRDefault="00B976F3" w:rsidP="00B976F3">
      <w:pPr>
        <w:spacing w:before="120"/>
        <w:ind w:left="708"/>
        <w:jc w:val="both"/>
      </w:pPr>
    </w:p>
    <w:p w:rsidR="006E10E2" w:rsidRPr="00F82E6B" w:rsidRDefault="00F82E6B" w:rsidP="006E10E2">
      <w:pPr>
        <w:spacing w:before="120"/>
        <w:ind w:left="1416"/>
        <w:jc w:val="both"/>
      </w:pPr>
      <w:r>
        <w:t>Destacar la diferencia entre hipoteca legal tácita (vg 78 LGT</w:t>
      </w:r>
      <w:r w:rsidR="006E10E2">
        <w:t>, en todo caso se anteponen) y crédito singularmente privilegiado (vg 32 ET o 9.1.e LPH, que requieren de tercería para anteponerse)</w:t>
      </w:r>
    </w:p>
    <w:p w:rsidR="006E10E2" w:rsidRDefault="006E10E2" w:rsidP="00B976F3">
      <w:pPr>
        <w:spacing w:before="120"/>
        <w:ind w:left="708"/>
        <w:jc w:val="both"/>
      </w:pPr>
    </w:p>
    <w:p w:rsidR="00B976F3" w:rsidRPr="00B976F3" w:rsidRDefault="00B976F3" w:rsidP="00B976F3">
      <w:pPr>
        <w:spacing w:before="120"/>
        <w:ind w:left="708"/>
        <w:jc w:val="both"/>
      </w:pPr>
      <w:r w:rsidRPr="00B976F3">
        <w:t xml:space="preserve">Se ejecuta la anotación </w:t>
      </w:r>
      <w:r>
        <w:t>segunda (</w:t>
      </w:r>
      <w:r w:rsidRPr="00B976F3">
        <w:t>no prioritaria</w:t>
      </w:r>
      <w:r>
        <w:t>)</w:t>
      </w:r>
      <w:r w:rsidRPr="00B976F3">
        <w:t xml:space="preserve">: el rematante adquiere </w:t>
      </w:r>
      <w:r>
        <w:t>e</w:t>
      </w:r>
      <w:r w:rsidRPr="00B976F3">
        <w:t>l bien con subsistencia de las anotaciones anteriores, aunque los créditos garantizados por éstas no fueran preferentes</w:t>
      </w:r>
      <w:r>
        <w:t xml:space="preserve"> (pero </w:t>
      </w:r>
      <w:r w:rsidRPr="00B976F3">
        <w:t xml:space="preserve">el rematante o adjudicatario </w:t>
      </w:r>
      <w:r>
        <w:t xml:space="preserve">puede </w:t>
      </w:r>
      <w:r w:rsidRPr="00B976F3">
        <w:t>acud</w:t>
      </w:r>
      <w:r>
        <w:t>ir</w:t>
      </w:r>
      <w:r w:rsidRPr="00B976F3">
        <w:t xml:space="preserve"> al </w:t>
      </w:r>
      <w:r w:rsidRPr="00F82E6B">
        <w:rPr>
          <w:b/>
          <w:i/>
          <w:iCs/>
        </w:rPr>
        <w:t>proceso declarativo</w:t>
      </w:r>
      <w:r w:rsidRPr="00B976F3">
        <w:rPr>
          <w:i/>
          <w:iCs/>
        </w:rPr>
        <w:t xml:space="preserve"> correspondiente </w:t>
      </w:r>
      <w:r w:rsidRPr="00B976F3">
        <w:t>y obten</w:t>
      </w:r>
      <w:r>
        <w:t>er</w:t>
      </w:r>
      <w:r w:rsidRPr="00B976F3">
        <w:t xml:space="preserve"> </w:t>
      </w:r>
      <w:r>
        <w:t>sentencia</w:t>
      </w:r>
      <w:r w:rsidRPr="00B976F3">
        <w:t xml:space="preserve"> declarando la extinción de tales créditos por ejecución de otros preferentes, ordenando la cancelación de las anotaciones respectivas</w:t>
      </w:r>
      <w:r>
        <w:t>)</w:t>
      </w:r>
      <w:r w:rsidRPr="00B976F3">
        <w:t>.</w:t>
      </w:r>
    </w:p>
    <w:p w:rsidR="00B976F3" w:rsidRDefault="00B976F3" w:rsidP="00291696">
      <w:pPr>
        <w:pStyle w:val="NormalWeb"/>
        <w:spacing w:before="120" w:beforeAutospacing="0"/>
        <w:rPr>
          <w:rFonts w:ascii="Times New Roman" w:hAnsi="Times New Roman"/>
          <w:b/>
          <w:sz w:val="24"/>
          <w:szCs w:val="24"/>
        </w:rPr>
      </w:pPr>
    </w:p>
    <w:p w:rsidR="00291696" w:rsidRDefault="00291696" w:rsidP="00291696">
      <w:pPr>
        <w:pStyle w:val="NormalWeb"/>
        <w:spacing w:before="120" w:beforeAutospacing="0"/>
        <w:rPr>
          <w:rFonts w:ascii="Times New Roman" w:hAnsi="Times New Roman"/>
          <w:sz w:val="24"/>
          <w:szCs w:val="24"/>
        </w:rPr>
      </w:pPr>
      <w:r w:rsidRPr="00022CC6">
        <w:rPr>
          <w:rFonts w:ascii="Times New Roman" w:hAnsi="Times New Roman"/>
          <w:b/>
          <w:sz w:val="24"/>
          <w:szCs w:val="24"/>
        </w:rPr>
        <w:t>44 LH</w:t>
      </w:r>
      <w:r>
        <w:rPr>
          <w:rFonts w:ascii="Times New Roman" w:hAnsi="Times New Roman"/>
          <w:sz w:val="24"/>
          <w:szCs w:val="24"/>
        </w:rPr>
        <w:t xml:space="preserve"> </w:t>
      </w:r>
      <w:r w:rsidRPr="00022CC6">
        <w:rPr>
          <w:rFonts w:ascii="Times New Roman" w:hAnsi="Times New Roman"/>
          <w:b/>
          <w:i/>
          <w:color w:val="808080"/>
          <w:sz w:val="24"/>
          <w:szCs w:val="24"/>
        </w:rPr>
        <w:t xml:space="preserve">El acreedor que obtenga anotación a su favor en los casos de los números segundo, tercero y cuarto del artículo cuarenta y dos, tendrá para el cobro de su crédito la preferencia establecida en el artículo </w:t>
      </w:r>
      <w:r>
        <w:rPr>
          <w:rFonts w:ascii="Times New Roman" w:hAnsi="Times New Roman"/>
          <w:b/>
          <w:i/>
          <w:color w:val="808080"/>
          <w:sz w:val="24"/>
          <w:szCs w:val="24"/>
        </w:rPr>
        <w:t>1923Cc</w:t>
      </w:r>
    </w:p>
    <w:p w:rsidR="00291696" w:rsidRDefault="00291696" w:rsidP="00291696">
      <w:pPr>
        <w:spacing w:before="120"/>
        <w:ind w:left="708"/>
        <w:jc w:val="both"/>
        <w:rPr>
          <w:i/>
          <w:sz w:val="20"/>
          <w:szCs w:val="20"/>
        </w:rPr>
      </w:pPr>
      <w:r w:rsidRPr="00D65F7E">
        <w:rPr>
          <w:b/>
        </w:rPr>
        <w:t>1923.4 Cc</w:t>
      </w:r>
      <w:r w:rsidRPr="00D65F7E">
        <w:t xml:space="preserve"> </w:t>
      </w:r>
      <w:r w:rsidRPr="00D65F7E">
        <w:rPr>
          <w:i/>
        </w:rPr>
        <w:t xml:space="preserve">Con relación a determinados bienes inmuebles y derechos reales del deudor, gozan de preferencia: Los créditos preventivamente anotados en el Registro de la Propiedad, en virtud de mandamiento judicial, por embargos, secuestros o ejecución de sentencias, sobre los bienes anotados, y </w:t>
      </w:r>
      <w:r w:rsidRPr="00291696">
        <w:rPr>
          <w:b/>
          <w:i/>
        </w:rPr>
        <w:t>sólo en cuanto a</w:t>
      </w:r>
      <w:r w:rsidRPr="00D65F7E">
        <w:rPr>
          <w:i/>
        </w:rPr>
        <w:t xml:space="preserve"> </w:t>
      </w:r>
      <w:r w:rsidRPr="00291696">
        <w:rPr>
          <w:b/>
          <w:i/>
        </w:rPr>
        <w:t>créditos posteriores</w:t>
      </w:r>
      <w:r w:rsidRPr="00291696">
        <w:rPr>
          <w:b/>
          <w:i/>
          <w:sz w:val="20"/>
          <w:szCs w:val="20"/>
        </w:rPr>
        <w:t xml:space="preserve"> (a la anotación</w:t>
      </w:r>
      <w:r w:rsidRPr="00291696">
        <w:rPr>
          <w:i/>
          <w:sz w:val="20"/>
          <w:szCs w:val="20"/>
        </w:rPr>
        <w:t>)</w:t>
      </w:r>
    </w:p>
    <w:p w:rsidR="00F82E6B" w:rsidRPr="00D65F7E" w:rsidRDefault="00F82E6B" w:rsidP="00291696">
      <w:pPr>
        <w:spacing w:before="120"/>
        <w:ind w:left="708"/>
        <w:jc w:val="both"/>
      </w:pPr>
    </w:p>
    <w:p w:rsidR="00123284" w:rsidRDefault="002C6B8E" w:rsidP="00F82E6B">
      <w:pPr>
        <w:spacing w:before="120"/>
        <w:ind w:left="708"/>
        <w:jc w:val="both"/>
      </w:pPr>
      <w:r w:rsidRPr="00D65F7E">
        <w:lastRenderedPageBreak/>
        <w:t>Si el crédito es de fecha anterior a la fecha de la anotación, para decidir su preferencia se propone</w:t>
      </w:r>
      <w:r w:rsidR="00F82E6B">
        <w:t xml:space="preserve"> atender a</w:t>
      </w:r>
      <w:r w:rsidR="00123284" w:rsidRPr="00D65F7E">
        <w:t>:</w:t>
      </w:r>
    </w:p>
    <w:p w:rsidR="00F82E6B" w:rsidRPr="00D65F7E" w:rsidRDefault="00F82E6B" w:rsidP="00F82E6B">
      <w:pPr>
        <w:spacing w:before="120"/>
        <w:ind w:left="708"/>
        <w:jc w:val="both"/>
      </w:pPr>
    </w:p>
    <w:p w:rsidR="00123284" w:rsidRDefault="00F82E6B" w:rsidP="00F82E6B">
      <w:pPr>
        <w:spacing w:before="120"/>
        <w:ind w:left="1416"/>
        <w:jc w:val="both"/>
      </w:pPr>
      <w:r>
        <w:t>(Tesis mayoritaria) L</w:t>
      </w:r>
      <w:r w:rsidR="00123284" w:rsidRPr="00D65F7E">
        <w:t>as normas civiles</w:t>
      </w:r>
      <w:r w:rsidR="00B976F3">
        <w:t xml:space="preserve"> (según sea el </w:t>
      </w:r>
      <w:r w:rsidR="002C6B8E" w:rsidRPr="00D65F7E">
        <w:t>crédito privilegiado o común</w:t>
      </w:r>
      <w:r w:rsidR="00B976F3">
        <w:t>)</w:t>
      </w:r>
      <w:r w:rsidR="002C6B8E" w:rsidRPr="00D65F7E">
        <w:t xml:space="preserve">, </w:t>
      </w:r>
      <w:r w:rsidR="00123284" w:rsidRPr="00D65F7E">
        <w:t>prescindiendo de que estén o no anotados. Por ej el crédito escriturario será preferente al anotado procedente de una letra de cambio (</w:t>
      </w:r>
      <w:r w:rsidR="002C6B8E" w:rsidRPr="00D65F7E">
        <w:t xml:space="preserve">que es un </w:t>
      </w:r>
      <w:r w:rsidR="00123284" w:rsidRPr="00D65F7E">
        <w:t>doc</w:t>
      </w:r>
      <w:r w:rsidR="002C6B8E" w:rsidRPr="00D65F7E">
        <w:t>umento</w:t>
      </w:r>
      <w:r w:rsidR="00123284" w:rsidRPr="00D65F7E">
        <w:t xml:space="preserve"> privado).</w:t>
      </w:r>
      <w:r w:rsidR="00B45D11" w:rsidRPr="00D65F7E">
        <w:t xml:space="preserve"> </w:t>
      </w:r>
    </w:p>
    <w:p w:rsidR="00291696" w:rsidRDefault="00F82E6B" w:rsidP="00F82E6B">
      <w:pPr>
        <w:spacing w:before="120"/>
        <w:ind w:left="1416"/>
        <w:jc w:val="both"/>
      </w:pPr>
      <w:r>
        <w:t>(García García) L</w:t>
      </w:r>
      <w:r w:rsidR="00B45D11" w:rsidRPr="00D65F7E">
        <w:t xml:space="preserve">a </w:t>
      </w:r>
      <w:r>
        <w:t>fecha de su respectiva anotación (</w:t>
      </w:r>
      <w:r w:rsidR="00B45D11" w:rsidRPr="00D65F7E">
        <w:t>es decir</w:t>
      </w:r>
      <w:r>
        <w:t>,</w:t>
      </w:r>
      <w:r w:rsidR="00B45D11" w:rsidRPr="00D65F7E">
        <w:t xml:space="preserve"> aplica</w:t>
      </w:r>
      <w:r>
        <w:t>ción d</w:t>
      </w:r>
      <w:r w:rsidR="00B45D11" w:rsidRPr="00D65F7E">
        <w:t>el art 1927 Cc</w:t>
      </w:r>
      <w:r>
        <w:t>)</w:t>
      </w:r>
    </w:p>
    <w:p w:rsidR="00291696" w:rsidRDefault="00291696" w:rsidP="00F82E6B">
      <w:pPr>
        <w:pStyle w:val="NormalWeb"/>
        <w:spacing w:before="120" w:beforeAutospacing="0" w:after="0" w:afterAutospacing="0"/>
        <w:ind w:left="2124"/>
      </w:pPr>
    </w:p>
    <w:p w:rsidR="00291696" w:rsidRPr="00D65F7E" w:rsidRDefault="00291696" w:rsidP="00F82E6B">
      <w:pPr>
        <w:pStyle w:val="NormalWeb"/>
        <w:spacing w:before="120" w:beforeAutospacing="0" w:after="0" w:afterAutospacing="0"/>
        <w:ind w:left="2124"/>
        <w:rPr>
          <w:rFonts w:ascii="Times New Roman" w:hAnsi="Times New Roman"/>
          <w:sz w:val="24"/>
          <w:szCs w:val="24"/>
        </w:rPr>
      </w:pPr>
      <w:r w:rsidRPr="00D65F7E">
        <w:rPr>
          <w:rFonts w:ascii="Times New Roman" w:hAnsi="Times New Roman"/>
          <w:b/>
          <w:sz w:val="24"/>
          <w:szCs w:val="24"/>
        </w:rPr>
        <w:t>1927.2 Cc</w:t>
      </w:r>
      <w:r w:rsidRPr="00D65F7E">
        <w:rPr>
          <w:rFonts w:ascii="Times New Roman" w:hAnsi="Times New Roman"/>
          <w:sz w:val="24"/>
          <w:szCs w:val="24"/>
        </w:rPr>
        <w:t xml:space="preserve"> </w:t>
      </w:r>
      <w:r w:rsidRPr="00D65F7E">
        <w:rPr>
          <w:rFonts w:ascii="Times New Roman" w:hAnsi="Times New Roman"/>
          <w:i/>
          <w:sz w:val="24"/>
          <w:szCs w:val="24"/>
        </w:rPr>
        <w:t xml:space="preserve">Si concurrieren dos o más créditos respecto a determinados inmuebles o derechos reales, se observarán, en cuanto a su respectiva prelación, las reglas siguientes: Los hipotecarios y refaccionarios, anotados o inscritos, que se expresan en el número 3 del citado </w:t>
      </w:r>
      <w:hyperlink r:id="rId7" w:anchor="a1923#a1923" w:history="1">
        <w:r w:rsidRPr="00D65F7E">
          <w:rPr>
            <w:rFonts w:ascii="Times New Roman" w:hAnsi="Times New Roman"/>
            <w:i/>
            <w:sz w:val="24"/>
            <w:szCs w:val="24"/>
          </w:rPr>
          <w:t>artículo 1.923</w:t>
        </w:r>
      </w:hyperlink>
      <w:r w:rsidRPr="00D65F7E">
        <w:rPr>
          <w:rFonts w:ascii="Times New Roman" w:hAnsi="Times New Roman"/>
          <w:i/>
          <w:sz w:val="24"/>
          <w:szCs w:val="24"/>
        </w:rPr>
        <w:t xml:space="preserve"> y en los comprendidos en el número 4 del mismo, </w:t>
      </w:r>
      <w:r w:rsidRPr="00291696">
        <w:rPr>
          <w:rFonts w:ascii="Times New Roman" w:hAnsi="Times New Roman"/>
          <w:b/>
          <w:i/>
          <w:sz w:val="24"/>
          <w:szCs w:val="24"/>
        </w:rPr>
        <w:t>gozarán de prelación entre sí por el orden de antigüedad de las respectivas inscripciones o anotaciones en el RP</w:t>
      </w:r>
    </w:p>
    <w:p w:rsidR="00291696" w:rsidRDefault="00291696" w:rsidP="00291696">
      <w:pPr>
        <w:spacing w:before="120"/>
        <w:jc w:val="both"/>
      </w:pPr>
    </w:p>
    <w:p w:rsidR="000D589C" w:rsidRPr="000D589C" w:rsidRDefault="000D589C" w:rsidP="0040518A">
      <w:pPr>
        <w:spacing w:before="120"/>
        <w:jc w:val="both"/>
        <w:rPr>
          <w:b/>
          <w:bdr w:val="single" w:sz="4" w:space="0" w:color="auto"/>
        </w:rPr>
      </w:pPr>
      <w:r w:rsidRPr="000D589C">
        <w:rPr>
          <w:b/>
          <w:bdr w:val="single" w:sz="4" w:space="0" w:color="auto"/>
        </w:rPr>
        <w:t>INSCRIPCIONES Y CANCELACIONES DERIVADAS DEL PROCEDIMIENTO DE EJECUCIÓN ORDINARIA</w:t>
      </w:r>
    </w:p>
    <w:p w:rsidR="000D589C" w:rsidRDefault="000D589C" w:rsidP="0040518A">
      <w:pPr>
        <w:spacing w:before="120"/>
        <w:jc w:val="both"/>
      </w:pPr>
    </w:p>
    <w:p w:rsidR="00672FCF" w:rsidRDefault="00016E09" w:rsidP="00672FCF">
      <w:pPr>
        <w:spacing w:before="120"/>
        <w:jc w:val="both"/>
      </w:pPr>
      <w:r w:rsidRPr="00016E09">
        <w:t xml:space="preserve">La </w:t>
      </w:r>
      <w:r>
        <w:t>LEC</w:t>
      </w:r>
      <w:r w:rsidRPr="00016E09">
        <w:t xml:space="preserve"> regula en los arts. 634 y ss. el procedimiento de ejecución forzosa común u ordinario</w:t>
      </w:r>
      <w:r>
        <w:t xml:space="preserve"> (</w:t>
      </w:r>
      <w:r w:rsidRPr="00016E09">
        <w:t>procedimiento de apremio</w:t>
      </w:r>
      <w:r>
        <w:t>), donde normalmente tienen lugar las anotaciones de embargo estudiadas (</w:t>
      </w:r>
      <w:r w:rsidRPr="003E0469">
        <w:rPr>
          <w:b/>
        </w:rPr>
        <w:t>inexistentes en el procedimiento del art 681 y</w:t>
      </w:r>
      <w:r>
        <w:t xml:space="preserve"> ss LEC, </w:t>
      </w:r>
      <w:r w:rsidR="00672FCF">
        <w:t>de ejecución d</w:t>
      </w:r>
      <w:r w:rsidR="00672FCF" w:rsidRPr="00672FCF">
        <w:t>irecta contra los bienes pignorados</w:t>
      </w:r>
      <w:r w:rsidR="00672FCF">
        <w:t>/</w:t>
      </w:r>
      <w:r w:rsidR="00672FCF" w:rsidRPr="00672FCF">
        <w:t>hipotecados</w:t>
      </w:r>
      <w:r w:rsidR="00672FCF">
        <w:t>).</w:t>
      </w:r>
    </w:p>
    <w:p w:rsidR="003E0469" w:rsidRDefault="003E0469" w:rsidP="00672FCF">
      <w:pPr>
        <w:spacing w:before="120"/>
        <w:jc w:val="both"/>
      </w:pPr>
    </w:p>
    <w:p w:rsidR="00672FCF" w:rsidRDefault="00672FCF" w:rsidP="00672FCF">
      <w:pPr>
        <w:spacing w:before="120"/>
        <w:jc w:val="both"/>
      </w:pPr>
      <w:r>
        <w:t>Destacamos:</w:t>
      </w:r>
    </w:p>
    <w:p w:rsidR="003E0469" w:rsidRDefault="003E0469" w:rsidP="00672FCF">
      <w:pPr>
        <w:spacing w:before="120"/>
        <w:jc w:val="both"/>
      </w:pPr>
    </w:p>
    <w:p w:rsidR="00672FCF" w:rsidRPr="00B213F2" w:rsidRDefault="00672FCF" w:rsidP="00672FCF">
      <w:pPr>
        <w:spacing w:before="120"/>
        <w:ind w:left="708"/>
        <w:jc w:val="both"/>
        <w:rPr>
          <w:i/>
          <w:color w:val="808080"/>
        </w:rPr>
      </w:pPr>
      <w:r w:rsidRPr="00672FCF">
        <w:rPr>
          <w:b/>
        </w:rPr>
        <w:t>673 LEC</w:t>
      </w:r>
      <w:r>
        <w:t xml:space="preserve"> </w:t>
      </w:r>
      <w:r w:rsidRPr="00B213F2">
        <w:rPr>
          <w:i/>
          <w:color w:val="808080"/>
        </w:rPr>
        <w:t xml:space="preserve">Será título bastante para la inscripción en el Registro de la Propiedad el </w:t>
      </w:r>
      <w:r w:rsidRPr="00B213F2">
        <w:rPr>
          <w:b/>
          <w:i/>
          <w:color w:val="808080"/>
        </w:rPr>
        <w:t>testimonio, expedido por el Secretario judicial, del decreto de adjudicación</w:t>
      </w:r>
      <w:r w:rsidRPr="00B213F2">
        <w:rPr>
          <w:i/>
          <w:color w:val="808080"/>
        </w:rPr>
        <w:t>, comprensivo de la resolución de aprobación del remate, de la adjudicación al acreedor o de la transmisión por convenio de realización o por persona o entidad especializada, y en el que se exprese, en su caso, que se ha consignado el precio, así como las demás circunstancias necesarias para la inscripción con arreglo a la legislación hipotecaria.</w:t>
      </w:r>
    </w:p>
    <w:p w:rsidR="00672FCF" w:rsidRPr="00B213F2" w:rsidRDefault="00935B0D" w:rsidP="00672FCF">
      <w:pPr>
        <w:spacing w:before="120"/>
        <w:ind w:left="708"/>
        <w:jc w:val="both"/>
        <w:rPr>
          <w:b/>
          <w:i/>
          <w:color w:val="808080"/>
        </w:rPr>
      </w:pPr>
      <w:r w:rsidRPr="00672FCF">
        <w:rPr>
          <w:b/>
        </w:rPr>
        <w:t>674</w:t>
      </w:r>
      <w:r w:rsidR="0040518A" w:rsidRPr="00672FCF">
        <w:rPr>
          <w:b/>
        </w:rPr>
        <w:t xml:space="preserve"> LEC</w:t>
      </w:r>
      <w:r w:rsidR="00672FCF">
        <w:t xml:space="preserve">  </w:t>
      </w:r>
      <w:r w:rsidR="00672FCF" w:rsidRPr="00B213F2">
        <w:rPr>
          <w:i/>
          <w:color w:val="808080"/>
        </w:rPr>
        <w:t>A</w:t>
      </w:r>
      <w:r w:rsidR="0040518A" w:rsidRPr="00B213F2">
        <w:rPr>
          <w:i/>
          <w:color w:val="808080"/>
        </w:rPr>
        <w:t xml:space="preserve"> </w:t>
      </w:r>
      <w:r w:rsidRPr="00B213F2">
        <w:rPr>
          <w:i/>
          <w:color w:val="808080"/>
        </w:rPr>
        <w:t xml:space="preserve">instancia del adquirente, se expedirá en su caso </w:t>
      </w:r>
      <w:r w:rsidRPr="00B213F2">
        <w:rPr>
          <w:b/>
          <w:i/>
          <w:color w:val="808080"/>
        </w:rPr>
        <w:t xml:space="preserve">mandamiento de cancelación de </w:t>
      </w:r>
    </w:p>
    <w:p w:rsidR="00672FCF" w:rsidRPr="00B213F2" w:rsidRDefault="00935B0D" w:rsidP="00672FCF">
      <w:pPr>
        <w:spacing w:before="120"/>
        <w:ind w:left="1416"/>
        <w:jc w:val="both"/>
        <w:rPr>
          <w:i/>
          <w:color w:val="808080"/>
        </w:rPr>
      </w:pPr>
      <w:r w:rsidRPr="00B213F2">
        <w:rPr>
          <w:b/>
          <w:i/>
          <w:color w:val="808080"/>
        </w:rPr>
        <w:t>la anotación</w:t>
      </w:r>
      <w:r w:rsidRPr="00B213F2">
        <w:rPr>
          <w:i/>
          <w:color w:val="808080"/>
        </w:rPr>
        <w:t xml:space="preserve"> que haya originado el remate o la adjudicación</w:t>
      </w:r>
      <w:r w:rsidR="00672FCF" w:rsidRPr="00B213F2">
        <w:rPr>
          <w:i/>
          <w:color w:val="808080"/>
        </w:rPr>
        <w:t xml:space="preserve"> y de</w:t>
      </w:r>
    </w:p>
    <w:p w:rsidR="00935B0D" w:rsidRPr="00B213F2" w:rsidRDefault="00935B0D" w:rsidP="00672FCF">
      <w:pPr>
        <w:spacing w:before="120"/>
        <w:ind w:left="1416"/>
        <w:jc w:val="both"/>
        <w:rPr>
          <w:i/>
          <w:color w:val="808080"/>
        </w:rPr>
      </w:pPr>
      <w:r w:rsidRPr="00B213F2">
        <w:rPr>
          <w:i/>
          <w:color w:val="808080"/>
        </w:rPr>
        <w:t xml:space="preserve">todas </w:t>
      </w:r>
      <w:r w:rsidRPr="00B213F2">
        <w:rPr>
          <w:b/>
          <w:i/>
          <w:color w:val="808080"/>
        </w:rPr>
        <w:t>las inscripciones y anotaciones posteriores</w:t>
      </w:r>
    </w:p>
    <w:p w:rsidR="00672FCF" w:rsidRDefault="00672FCF" w:rsidP="00672FCF">
      <w:pPr>
        <w:spacing w:before="120"/>
        <w:ind w:left="708"/>
        <w:jc w:val="both"/>
      </w:pPr>
    </w:p>
    <w:p w:rsidR="00672FCF" w:rsidRDefault="00672FCF" w:rsidP="00964223">
      <w:pPr>
        <w:spacing w:before="120"/>
        <w:ind w:left="1416"/>
        <w:jc w:val="both"/>
      </w:pPr>
      <w:r w:rsidRPr="00672FCF">
        <w:lastRenderedPageBreak/>
        <w:t xml:space="preserve">La eficacia cancelatoria del mandamiento queda condicionada a la </w:t>
      </w:r>
      <w:r>
        <w:t>vigencia</w:t>
      </w:r>
      <w:r w:rsidRPr="00672FCF">
        <w:t xml:space="preserve"> de la anotación preventiva del embargo </w:t>
      </w:r>
      <w:r>
        <w:t>(</w:t>
      </w:r>
      <w:r w:rsidR="003E0469">
        <w:t>sin</w:t>
      </w:r>
      <w:r>
        <w:t xml:space="preserve"> caducidad) </w:t>
      </w:r>
      <w:r w:rsidRPr="00672FCF">
        <w:t>en el momento de la presentación de aquél:</w:t>
      </w:r>
    </w:p>
    <w:p w:rsidR="00964223" w:rsidRPr="00672FCF" w:rsidRDefault="00964223" w:rsidP="00964223">
      <w:pPr>
        <w:spacing w:before="120"/>
        <w:ind w:left="1416"/>
        <w:jc w:val="both"/>
      </w:pPr>
    </w:p>
    <w:p w:rsidR="00672FCF" w:rsidRPr="00672FCF" w:rsidRDefault="00672FCF" w:rsidP="00964223">
      <w:pPr>
        <w:spacing w:before="120"/>
        <w:ind w:left="2124"/>
        <w:jc w:val="both"/>
      </w:pPr>
      <w:r w:rsidRPr="00672FCF">
        <w:t xml:space="preserve">Si la anotación ha caducado y </w:t>
      </w:r>
      <w:r w:rsidRPr="003E0469">
        <w:rPr>
          <w:u w:val="single"/>
        </w:rPr>
        <w:t xml:space="preserve">la finca está inscrita a nombre de persona distinta del </w:t>
      </w:r>
      <w:r w:rsidR="003E0469">
        <w:rPr>
          <w:u w:val="single"/>
        </w:rPr>
        <w:t>embargado</w:t>
      </w:r>
      <w:r w:rsidRPr="00672FCF">
        <w:t xml:space="preserve"> contra el que se hubiera dirigido el procedimiento, el Registrador denegará la inscripción de la adjudicación </w:t>
      </w:r>
      <w:r>
        <w:t>(</w:t>
      </w:r>
      <w:r w:rsidRPr="00672FCF">
        <w:t>20 LH</w:t>
      </w:r>
      <w:r>
        <w:t>)</w:t>
      </w:r>
      <w:r w:rsidRPr="00672FCF">
        <w:t>.</w:t>
      </w:r>
    </w:p>
    <w:p w:rsidR="00672FCF" w:rsidRPr="00672FCF" w:rsidRDefault="00672FCF" w:rsidP="00964223">
      <w:pPr>
        <w:spacing w:before="120"/>
        <w:ind w:left="2124"/>
        <w:jc w:val="both"/>
      </w:pPr>
      <w:r w:rsidRPr="00672FCF">
        <w:t xml:space="preserve">Si la anotación ha caducado pero </w:t>
      </w:r>
      <w:r w:rsidRPr="003E0469">
        <w:rPr>
          <w:u w:val="single"/>
        </w:rPr>
        <w:t xml:space="preserve">la finca sigue inscrita a nombre del </w:t>
      </w:r>
      <w:r w:rsidR="003E0469">
        <w:rPr>
          <w:u w:val="single"/>
        </w:rPr>
        <w:t>embargado</w:t>
      </w:r>
      <w:r w:rsidRPr="00672FCF">
        <w:t xml:space="preserve"> contra quien se ha dirigido el procedimiento</w:t>
      </w:r>
      <w:r>
        <w:t xml:space="preserve">, </w:t>
      </w:r>
      <w:r w:rsidRPr="00672FCF">
        <w:t xml:space="preserve">el Registrador practicará la inscripción </w:t>
      </w:r>
      <w:r w:rsidR="00964223">
        <w:t xml:space="preserve">de la adjudicación </w:t>
      </w:r>
      <w:r w:rsidRPr="00672FCF">
        <w:t>pero denegará la cancelación de cargas posteriores</w:t>
      </w:r>
      <w:r w:rsidR="00964223">
        <w:t xml:space="preserve"> (</w:t>
      </w:r>
      <w:r w:rsidRPr="00672FCF">
        <w:t>caducada la anotación de embargo, habrán ganado preferencia los asientos posteriores</w:t>
      </w:r>
      <w:r w:rsidR="00964223">
        <w:t>)</w:t>
      </w:r>
    </w:p>
    <w:p w:rsidR="00672FCF" w:rsidRDefault="00672FCF" w:rsidP="0040518A">
      <w:pPr>
        <w:spacing w:before="120"/>
        <w:jc w:val="both"/>
      </w:pPr>
    </w:p>
    <w:p w:rsidR="00672FCF" w:rsidRPr="00D65F7E" w:rsidRDefault="00672FCF" w:rsidP="0040518A">
      <w:pPr>
        <w:spacing w:before="120"/>
        <w:jc w:val="both"/>
      </w:pPr>
    </w:p>
    <w:sectPr w:rsidR="00672FCF" w:rsidRPr="00D65F7E">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0F" w:rsidRDefault="00A3670F">
      <w:r>
        <w:separator/>
      </w:r>
    </w:p>
  </w:endnote>
  <w:endnote w:type="continuationSeparator" w:id="0">
    <w:p w:rsidR="00A3670F" w:rsidRDefault="00A3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CF" w:rsidRDefault="00672FCF" w:rsidP="00B60C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72FCF" w:rsidRDefault="00672FC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CF" w:rsidRDefault="00672FCF" w:rsidP="00B60C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412E">
      <w:rPr>
        <w:rStyle w:val="Nmerodepgina"/>
        <w:noProof/>
      </w:rPr>
      <w:t>1</w:t>
    </w:r>
    <w:r>
      <w:rPr>
        <w:rStyle w:val="Nmerodepgina"/>
      </w:rPr>
      <w:fldChar w:fldCharType="end"/>
    </w:r>
  </w:p>
  <w:p w:rsidR="00672FCF" w:rsidRDefault="00672F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0F" w:rsidRDefault="00A3670F">
      <w:r>
        <w:separator/>
      </w:r>
    </w:p>
  </w:footnote>
  <w:footnote w:type="continuationSeparator" w:id="0">
    <w:p w:rsidR="00A3670F" w:rsidRDefault="00A367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30C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D284C"/>
    <w:multiLevelType w:val="multilevel"/>
    <w:tmpl w:val="5C7E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961D6"/>
    <w:multiLevelType w:val="hybridMultilevel"/>
    <w:tmpl w:val="506EFFA0"/>
    <w:lvl w:ilvl="0" w:tplc="167C0C32">
      <w:start w:val="1"/>
      <w:numFmt w:val="decimal"/>
      <w:lvlText w:val="%1)"/>
      <w:lvlJc w:val="left"/>
      <w:pPr>
        <w:ind w:left="1688" w:hanging="98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325C2297"/>
    <w:multiLevelType w:val="multilevel"/>
    <w:tmpl w:val="82EA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FD5263"/>
    <w:multiLevelType w:val="multilevel"/>
    <w:tmpl w:val="D894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300F78"/>
    <w:multiLevelType w:val="hybridMultilevel"/>
    <w:tmpl w:val="57389AC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7F54EC7"/>
    <w:multiLevelType w:val="hybridMultilevel"/>
    <w:tmpl w:val="E958596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4EAC71F2"/>
    <w:multiLevelType w:val="hybridMultilevel"/>
    <w:tmpl w:val="20FE1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E903C6"/>
    <w:multiLevelType w:val="hybridMultilevel"/>
    <w:tmpl w:val="CDA846EC"/>
    <w:lvl w:ilvl="0" w:tplc="54965C34">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F4364F"/>
    <w:multiLevelType w:val="multilevel"/>
    <w:tmpl w:val="6772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B74667"/>
    <w:multiLevelType w:val="multilevel"/>
    <w:tmpl w:val="424CC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007329"/>
    <w:multiLevelType w:val="multilevel"/>
    <w:tmpl w:val="7B90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8E76FA"/>
    <w:multiLevelType w:val="hybridMultilevel"/>
    <w:tmpl w:val="604CD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D4315D"/>
    <w:multiLevelType w:val="multilevel"/>
    <w:tmpl w:val="F57406B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72D94B06"/>
    <w:multiLevelType w:val="hybridMultilevel"/>
    <w:tmpl w:val="B4743E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3D32565"/>
    <w:multiLevelType w:val="hybridMultilevel"/>
    <w:tmpl w:val="5DACEC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4"/>
  </w:num>
  <w:num w:numId="5">
    <w:abstractNumId w:val="11"/>
  </w:num>
  <w:num w:numId="6">
    <w:abstractNumId w:val="10"/>
  </w:num>
  <w:num w:numId="7">
    <w:abstractNumId w:val="1"/>
  </w:num>
  <w:num w:numId="8">
    <w:abstractNumId w:val="0"/>
  </w:num>
  <w:num w:numId="9">
    <w:abstractNumId w:val="6"/>
  </w:num>
  <w:num w:numId="10">
    <w:abstractNumId w:val="13"/>
  </w:num>
  <w:num w:numId="11">
    <w:abstractNumId w:val="2"/>
  </w:num>
  <w:num w:numId="12">
    <w:abstractNumId w:val="15"/>
  </w:num>
  <w:num w:numId="13">
    <w:abstractNumId w:val="8"/>
  </w:num>
  <w:num w:numId="14">
    <w:abstractNumId w:val="1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92"/>
    <w:rsid w:val="00000727"/>
    <w:rsid w:val="00004ED8"/>
    <w:rsid w:val="00006EEF"/>
    <w:rsid w:val="00014D98"/>
    <w:rsid w:val="000151AF"/>
    <w:rsid w:val="00016E09"/>
    <w:rsid w:val="00022CC6"/>
    <w:rsid w:val="00023907"/>
    <w:rsid w:val="00035676"/>
    <w:rsid w:val="00044E27"/>
    <w:rsid w:val="0005224D"/>
    <w:rsid w:val="00063604"/>
    <w:rsid w:val="00064E53"/>
    <w:rsid w:val="00070D1A"/>
    <w:rsid w:val="00076B4E"/>
    <w:rsid w:val="000851AD"/>
    <w:rsid w:val="000B0C9F"/>
    <w:rsid w:val="000B6D37"/>
    <w:rsid w:val="000B72DA"/>
    <w:rsid w:val="000C548A"/>
    <w:rsid w:val="000D2A48"/>
    <w:rsid w:val="000D589C"/>
    <w:rsid w:val="000E0C20"/>
    <w:rsid w:val="000E20A2"/>
    <w:rsid w:val="000F170B"/>
    <w:rsid w:val="000F1CF1"/>
    <w:rsid w:val="000F6CDD"/>
    <w:rsid w:val="00101CD9"/>
    <w:rsid w:val="00107ADD"/>
    <w:rsid w:val="00114EFA"/>
    <w:rsid w:val="0011529B"/>
    <w:rsid w:val="00122B2C"/>
    <w:rsid w:val="00123284"/>
    <w:rsid w:val="0013340F"/>
    <w:rsid w:val="00147F19"/>
    <w:rsid w:val="00152686"/>
    <w:rsid w:val="00163127"/>
    <w:rsid w:val="0016435A"/>
    <w:rsid w:val="00165CCD"/>
    <w:rsid w:val="00173621"/>
    <w:rsid w:val="00176004"/>
    <w:rsid w:val="00177CD9"/>
    <w:rsid w:val="00180915"/>
    <w:rsid w:val="00183C56"/>
    <w:rsid w:val="001943A7"/>
    <w:rsid w:val="001A2599"/>
    <w:rsid w:val="001A3E49"/>
    <w:rsid w:val="001A4550"/>
    <w:rsid w:val="001B68CA"/>
    <w:rsid w:val="001C28F3"/>
    <w:rsid w:val="001C3F2A"/>
    <w:rsid w:val="001C6B0E"/>
    <w:rsid w:val="001D0E2B"/>
    <w:rsid w:val="001E27A9"/>
    <w:rsid w:val="001F446D"/>
    <w:rsid w:val="001F64EF"/>
    <w:rsid w:val="0020144E"/>
    <w:rsid w:val="00220F14"/>
    <w:rsid w:val="00221728"/>
    <w:rsid w:val="00247F7D"/>
    <w:rsid w:val="0027291B"/>
    <w:rsid w:val="00272F7E"/>
    <w:rsid w:val="0029046E"/>
    <w:rsid w:val="00291696"/>
    <w:rsid w:val="002A0548"/>
    <w:rsid w:val="002A12E1"/>
    <w:rsid w:val="002B2290"/>
    <w:rsid w:val="002C6B8E"/>
    <w:rsid w:val="002E2262"/>
    <w:rsid w:val="002E6C21"/>
    <w:rsid w:val="00300482"/>
    <w:rsid w:val="00301B07"/>
    <w:rsid w:val="003041B8"/>
    <w:rsid w:val="0030658B"/>
    <w:rsid w:val="003137AF"/>
    <w:rsid w:val="00316F20"/>
    <w:rsid w:val="003253CA"/>
    <w:rsid w:val="00327FC4"/>
    <w:rsid w:val="003313BC"/>
    <w:rsid w:val="003319EC"/>
    <w:rsid w:val="003331B5"/>
    <w:rsid w:val="00341354"/>
    <w:rsid w:val="00346B19"/>
    <w:rsid w:val="003633C0"/>
    <w:rsid w:val="00367E91"/>
    <w:rsid w:val="003726FE"/>
    <w:rsid w:val="00382586"/>
    <w:rsid w:val="0038453A"/>
    <w:rsid w:val="003960B7"/>
    <w:rsid w:val="003A5C43"/>
    <w:rsid w:val="003B1B18"/>
    <w:rsid w:val="003B4A99"/>
    <w:rsid w:val="003C1EE9"/>
    <w:rsid w:val="003C44E3"/>
    <w:rsid w:val="003E0469"/>
    <w:rsid w:val="003E53BF"/>
    <w:rsid w:val="003F19B2"/>
    <w:rsid w:val="003F3C68"/>
    <w:rsid w:val="0040518A"/>
    <w:rsid w:val="00410FEA"/>
    <w:rsid w:val="00411739"/>
    <w:rsid w:val="00416AE5"/>
    <w:rsid w:val="004201C0"/>
    <w:rsid w:val="00421C69"/>
    <w:rsid w:val="0043048C"/>
    <w:rsid w:val="00433249"/>
    <w:rsid w:val="00435DAC"/>
    <w:rsid w:val="00442F1B"/>
    <w:rsid w:val="00444EEF"/>
    <w:rsid w:val="00446BF8"/>
    <w:rsid w:val="0044778D"/>
    <w:rsid w:val="00456601"/>
    <w:rsid w:val="00472FD7"/>
    <w:rsid w:val="00477BA9"/>
    <w:rsid w:val="004844D9"/>
    <w:rsid w:val="004904ED"/>
    <w:rsid w:val="004A2BD2"/>
    <w:rsid w:val="004B44B9"/>
    <w:rsid w:val="004B7F69"/>
    <w:rsid w:val="004C317A"/>
    <w:rsid w:val="004D37A1"/>
    <w:rsid w:val="004D6145"/>
    <w:rsid w:val="004E7A99"/>
    <w:rsid w:val="004F082F"/>
    <w:rsid w:val="004F4CAA"/>
    <w:rsid w:val="004F4F03"/>
    <w:rsid w:val="004F59B3"/>
    <w:rsid w:val="004F7F91"/>
    <w:rsid w:val="005000E7"/>
    <w:rsid w:val="0050215D"/>
    <w:rsid w:val="00506077"/>
    <w:rsid w:val="00512DA3"/>
    <w:rsid w:val="005142BF"/>
    <w:rsid w:val="00514A05"/>
    <w:rsid w:val="00525DE0"/>
    <w:rsid w:val="0052704B"/>
    <w:rsid w:val="005360DC"/>
    <w:rsid w:val="005377F9"/>
    <w:rsid w:val="005419B8"/>
    <w:rsid w:val="00547F21"/>
    <w:rsid w:val="00553897"/>
    <w:rsid w:val="00555C0C"/>
    <w:rsid w:val="005566D6"/>
    <w:rsid w:val="005614A5"/>
    <w:rsid w:val="005616CA"/>
    <w:rsid w:val="00565F0F"/>
    <w:rsid w:val="00572F9E"/>
    <w:rsid w:val="00592D8A"/>
    <w:rsid w:val="005A52BD"/>
    <w:rsid w:val="005A59BF"/>
    <w:rsid w:val="005B1358"/>
    <w:rsid w:val="005B433E"/>
    <w:rsid w:val="005C1982"/>
    <w:rsid w:val="005C230D"/>
    <w:rsid w:val="005C2971"/>
    <w:rsid w:val="005C3223"/>
    <w:rsid w:val="005D09DD"/>
    <w:rsid w:val="005D0AAD"/>
    <w:rsid w:val="005E7548"/>
    <w:rsid w:val="005F6807"/>
    <w:rsid w:val="006054CB"/>
    <w:rsid w:val="006065FC"/>
    <w:rsid w:val="00606A2F"/>
    <w:rsid w:val="0061158F"/>
    <w:rsid w:val="00614A66"/>
    <w:rsid w:val="00633C14"/>
    <w:rsid w:val="00650712"/>
    <w:rsid w:val="006526A4"/>
    <w:rsid w:val="006535FF"/>
    <w:rsid w:val="00660FA6"/>
    <w:rsid w:val="00670C34"/>
    <w:rsid w:val="00671F5F"/>
    <w:rsid w:val="00672FCF"/>
    <w:rsid w:val="006731CE"/>
    <w:rsid w:val="00673F31"/>
    <w:rsid w:val="006915BD"/>
    <w:rsid w:val="006A45E3"/>
    <w:rsid w:val="006A7746"/>
    <w:rsid w:val="006B2CF9"/>
    <w:rsid w:val="006B34D5"/>
    <w:rsid w:val="006B3AAD"/>
    <w:rsid w:val="006B6277"/>
    <w:rsid w:val="006B749F"/>
    <w:rsid w:val="006C26C1"/>
    <w:rsid w:val="006C2A3C"/>
    <w:rsid w:val="006D12C1"/>
    <w:rsid w:val="006D2A2F"/>
    <w:rsid w:val="006D75B9"/>
    <w:rsid w:val="006E00C8"/>
    <w:rsid w:val="006E10E2"/>
    <w:rsid w:val="006F685B"/>
    <w:rsid w:val="006F7C16"/>
    <w:rsid w:val="007019FE"/>
    <w:rsid w:val="00717A67"/>
    <w:rsid w:val="00717BB5"/>
    <w:rsid w:val="00721980"/>
    <w:rsid w:val="00723761"/>
    <w:rsid w:val="00723F07"/>
    <w:rsid w:val="007343B6"/>
    <w:rsid w:val="007437E1"/>
    <w:rsid w:val="0074792A"/>
    <w:rsid w:val="00753D7D"/>
    <w:rsid w:val="007632EF"/>
    <w:rsid w:val="00770391"/>
    <w:rsid w:val="00776243"/>
    <w:rsid w:val="007823F0"/>
    <w:rsid w:val="00782741"/>
    <w:rsid w:val="007965C4"/>
    <w:rsid w:val="007A417A"/>
    <w:rsid w:val="007A507A"/>
    <w:rsid w:val="007B3407"/>
    <w:rsid w:val="007B3F99"/>
    <w:rsid w:val="007C5780"/>
    <w:rsid w:val="007E694F"/>
    <w:rsid w:val="007F10B4"/>
    <w:rsid w:val="007F1BBF"/>
    <w:rsid w:val="007F5ECC"/>
    <w:rsid w:val="0081412E"/>
    <w:rsid w:val="008171B3"/>
    <w:rsid w:val="00826472"/>
    <w:rsid w:val="0083378F"/>
    <w:rsid w:val="00833E16"/>
    <w:rsid w:val="00836A8F"/>
    <w:rsid w:val="00837BD2"/>
    <w:rsid w:val="00856F21"/>
    <w:rsid w:val="0086327E"/>
    <w:rsid w:val="008637BA"/>
    <w:rsid w:val="0087015F"/>
    <w:rsid w:val="0089257D"/>
    <w:rsid w:val="008A2486"/>
    <w:rsid w:val="008A4186"/>
    <w:rsid w:val="008A4AB9"/>
    <w:rsid w:val="008C15B3"/>
    <w:rsid w:val="008C289F"/>
    <w:rsid w:val="008D666F"/>
    <w:rsid w:val="008E3DA7"/>
    <w:rsid w:val="008F3A0B"/>
    <w:rsid w:val="008F3D0D"/>
    <w:rsid w:val="008F4573"/>
    <w:rsid w:val="00911113"/>
    <w:rsid w:val="00916B8A"/>
    <w:rsid w:val="00920BBB"/>
    <w:rsid w:val="009223E5"/>
    <w:rsid w:val="00924094"/>
    <w:rsid w:val="00924DED"/>
    <w:rsid w:val="0093318F"/>
    <w:rsid w:val="00935B0D"/>
    <w:rsid w:val="00940B55"/>
    <w:rsid w:val="00941E2A"/>
    <w:rsid w:val="009441EE"/>
    <w:rsid w:val="00944AA0"/>
    <w:rsid w:val="00964223"/>
    <w:rsid w:val="00974BF0"/>
    <w:rsid w:val="00981D21"/>
    <w:rsid w:val="0098366B"/>
    <w:rsid w:val="00997F92"/>
    <w:rsid w:val="009A41DA"/>
    <w:rsid w:val="009A5600"/>
    <w:rsid w:val="009A5C92"/>
    <w:rsid w:val="009B07B9"/>
    <w:rsid w:val="009B4C0B"/>
    <w:rsid w:val="009D5B54"/>
    <w:rsid w:val="009E5807"/>
    <w:rsid w:val="00A01EEE"/>
    <w:rsid w:val="00A05505"/>
    <w:rsid w:val="00A06755"/>
    <w:rsid w:val="00A12D7E"/>
    <w:rsid w:val="00A14665"/>
    <w:rsid w:val="00A16A0A"/>
    <w:rsid w:val="00A23E7D"/>
    <w:rsid w:val="00A34D61"/>
    <w:rsid w:val="00A3670F"/>
    <w:rsid w:val="00A410AD"/>
    <w:rsid w:val="00A41F74"/>
    <w:rsid w:val="00A6499E"/>
    <w:rsid w:val="00A657C1"/>
    <w:rsid w:val="00A749A1"/>
    <w:rsid w:val="00A75CAD"/>
    <w:rsid w:val="00A774C4"/>
    <w:rsid w:val="00A878B3"/>
    <w:rsid w:val="00A9098D"/>
    <w:rsid w:val="00A96956"/>
    <w:rsid w:val="00AA3262"/>
    <w:rsid w:val="00AB209D"/>
    <w:rsid w:val="00AC21C7"/>
    <w:rsid w:val="00AD219C"/>
    <w:rsid w:val="00AD6E1A"/>
    <w:rsid w:val="00AE376B"/>
    <w:rsid w:val="00AE3BD5"/>
    <w:rsid w:val="00AE3EF2"/>
    <w:rsid w:val="00AE41E5"/>
    <w:rsid w:val="00AE6CAE"/>
    <w:rsid w:val="00AE7C78"/>
    <w:rsid w:val="00B02518"/>
    <w:rsid w:val="00B02A25"/>
    <w:rsid w:val="00B213F2"/>
    <w:rsid w:val="00B216A3"/>
    <w:rsid w:val="00B3414E"/>
    <w:rsid w:val="00B44F54"/>
    <w:rsid w:val="00B45BDF"/>
    <w:rsid w:val="00B45D11"/>
    <w:rsid w:val="00B47489"/>
    <w:rsid w:val="00B54B7C"/>
    <w:rsid w:val="00B60C7C"/>
    <w:rsid w:val="00B62CAF"/>
    <w:rsid w:val="00B644AA"/>
    <w:rsid w:val="00B64F71"/>
    <w:rsid w:val="00B66113"/>
    <w:rsid w:val="00B77BAE"/>
    <w:rsid w:val="00B820F0"/>
    <w:rsid w:val="00B83A7A"/>
    <w:rsid w:val="00B85CA4"/>
    <w:rsid w:val="00B95F84"/>
    <w:rsid w:val="00B96820"/>
    <w:rsid w:val="00B976F3"/>
    <w:rsid w:val="00BA17D1"/>
    <w:rsid w:val="00BA2A89"/>
    <w:rsid w:val="00BA7002"/>
    <w:rsid w:val="00BC04EC"/>
    <w:rsid w:val="00BC4310"/>
    <w:rsid w:val="00BC6833"/>
    <w:rsid w:val="00BD16FA"/>
    <w:rsid w:val="00BD18CF"/>
    <w:rsid w:val="00BD42F0"/>
    <w:rsid w:val="00C00886"/>
    <w:rsid w:val="00C017A3"/>
    <w:rsid w:val="00C05630"/>
    <w:rsid w:val="00C25875"/>
    <w:rsid w:val="00C261FD"/>
    <w:rsid w:val="00C30DF7"/>
    <w:rsid w:val="00C40AE0"/>
    <w:rsid w:val="00C415CA"/>
    <w:rsid w:val="00C43CA5"/>
    <w:rsid w:val="00C45829"/>
    <w:rsid w:val="00C5433D"/>
    <w:rsid w:val="00C56F55"/>
    <w:rsid w:val="00C61813"/>
    <w:rsid w:val="00C67DBC"/>
    <w:rsid w:val="00C73F34"/>
    <w:rsid w:val="00C824A8"/>
    <w:rsid w:val="00C91E9E"/>
    <w:rsid w:val="00C93C82"/>
    <w:rsid w:val="00CB2116"/>
    <w:rsid w:val="00CC42F2"/>
    <w:rsid w:val="00CE0ADA"/>
    <w:rsid w:val="00CE3381"/>
    <w:rsid w:val="00CE3CE1"/>
    <w:rsid w:val="00CE6576"/>
    <w:rsid w:val="00CF4D12"/>
    <w:rsid w:val="00D0301F"/>
    <w:rsid w:val="00D04519"/>
    <w:rsid w:val="00D14D53"/>
    <w:rsid w:val="00D14E06"/>
    <w:rsid w:val="00D16F80"/>
    <w:rsid w:val="00D20499"/>
    <w:rsid w:val="00D26FE1"/>
    <w:rsid w:val="00D27A41"/>
    <w:rsid w:val="00D40215"/>
    <w:rsid w:val="00D4210E"/>
    <w:rsid w:val="00D434B8"/>
    <w:rsid w:val="00D566C2"/>
    <w:rsid w:val="00D570D0"/>
    <w:rsid w:val="00D63669"/>
    <w:rsid w:val="00D65F7E"/>
    <w:rsid w:val="00D80237"/>
    <w:rsid w:val="00D81831"/>
    <w:rsid w:val="00D90375"/>
    <w:rsid w:val="00D94C3E"/>
    <w:rsid w:val="00DA0289"/>
    <w:rsid w:val="00DA6AC3"/>
    <w:rsid w:val="00DA7280"/>
    <w:rsid w:val="00DA7761"/>
    <w:rsid w:val="00DB73A8"/>
    <w:rsid w:val="00DC3124"/>
    <w:rsid w:val="00DC658A"/>
    <w:rsid w:val="00DE7814"/>
    <w:rsid w:val="00E01F7B"/>
    <w:rsid w:val="00E04E50"/>
    <w:rsid w:val="00E074DD"/>
    <w:rsid w:val="00E07A70"/>
    <w:rsid w:val="00E33E6E"/>
    <w:rsid w:val="00E33F2A"/>
    <w:rsid w:val="00E415D6"/>
    <w:rsid w:val="00E5035F"/>
    <w:rsid w:val="00E52170"/>
    <w:rsid w:val="00E545C2"/>
    <w:rsid w:val="00E62952"/>
    <w:rsid w:val="00E774C5"/>
    <w:rsid w:val="00E850FD"/>
    <w:rsid w:val="00E90BF0"/>
    <w:rsid w:val="00E95E0E"/>
    <w:rsid w:val="00EB776D"/>
    <w:rsid w:val="00EC73C5"/>
    <w:rsid w:val="00ED0CFA"/>
    <w:rsid w:val="00ED1970"/>
    <w:rsid w:val="00ED3E1C"/>
    <w:rsid w:val="00ED593F"/>
    <w:rsid w:val="00EE55AD"/>
    <w:rsid w:val="00EF12BE"/>
    <w:rsid w:val="00EF2204"/>
    <w:rsid w:val="00EF73ED"/>
    <w:rsid w:val="00F108FB"/>
    <w:rsid w:val="00F11706"/>
    <w:rsid w:val="00F155A5"/>
    <w:rsid w:val="00F427EB"/>
    <w:rsid w:val="00F45CDA"/>
    <w:rsid w:val="00F51C56"/>
    <w:rsid w:val="00F62398"/>
    <w:rsid w:val="00F70657"/>
    <w:rsid w:val="00F737C2"/>
    <w:rsid w:val="00F75562"/>
    <w:rsid w:val="00F82E6B"/>
    <w:rsid w:val="00FA10D2"/>
    <w:rsid w:val="00FA56B5"/>
    <w:rsid w:val="00FC5D98"/>
    <w:rsid w:val="00FC5E91"/>
    <w:rsid w:val="00FC6CEF"/>
    <w:rsid w:val="00FC6FAF"/>
    <w:rsid w:val="00FD3BB1"/>
    <w:rsid w:val="00FE162C"/>
    <w:rsid w:val="00FE1BDA"/>
    <w:rsid w:val="00FE7993"/>
    <w:rsid w:val="00FE7C2D"/>
    <w:rsid w:val="00FF3C45"/>
    <w:rsid w:val="00FF3D8B"/>
    <w:rsid w:val="00FF48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4CFB4E-71E2-4083-B468-726DE3B8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9A5C92"/>
    <w:rPr>
      <w:strike w:val="0"/>
      <w:dstrike w:val="0"/>
      <w:color w:val="4C6F99"/>
      <w:u w:val="none"/>
      <w:effect w:val="none"/>
    </w:rPr>
  </w:style>
  <w:style w:type="paragraph" w:styleId="NormalWeb">
    <w:name w:val="Normal (Web)"/>
    <w:basedOn w:val="Normal"/>
    <w:rsid w:val="009A5C92"/>
    <w:pPr>
      <w:spacing w:before="100" w:beforeAutospacing="1" w:after="100" w:afterAutospacing="1"/>
      <w:jc w:val="both"/>
    </w:pPr>
    <w:rPr>
      <w:rFonts w:ascii="Verdana" w:hAnsi="Verdana"/>
      <w:sz w:val="15"/>
      <w:szCs w:val="15"/>
    </w:rPr>
  </w:style>
  <w:style w:type="paragraph" w:styleId="Piedepgina">
    <w:name w:val="footer"/>
    <w:basedOn w:val="Normal"/>
    <w:rsid w:val="00B60C7C"/>
    <w:pPr>
      <w:tabs>
        <w:tab w:val="center" w:pos="4252"/>
        <w:tab w:val="right" w:pos="8504"/>
      </w:tabs>
    </w:pPr>
  </w:style>
  <w:style w:type="character" w:styleId="Nmerodepgina">
    <w:name w:val="page number"/>
    <w:basedOn w:val="Fuentedeprrafopredeter"/>
    <w:rsid w:val="00B60C7C"/>
  </w:style>
  <w:style w:type="paragraph" w:styleId="Textodeglobo">
    <w:name w:val="Balloon Text"/>
    <w:basedOn w:val="Normal"/>
    <w:link w:val="TextodegloboCar"/>
    <w:rsid w:val="001C6B0E"/>
    <w:rPr>
      <w:rFonts w:ascii="Segoe UI" w:hAnsi="Segoe UI"/>
      <w:sz w:val="18"/>
      <w:szCs w:val="18"/>
      <w:lang w:val="x-none" w:eastAsia="x-none"/>
    </w:rPr>
  </w:style>
  <w:style w:type="character" w:customStyle="1" w:styleId="TextodegloboCar">
    <w:name w:val="Texto de globo Car"/>
    <w:link w:val="Textodeglobo"/>
    <w:rsid w:val="001C6B0E"/>
    <w:rPr>
      <w:rFonts w:ascii="Segoe UI" w:hAnsi="Segoe UI" w:cs="Segoe UI"/>
      <w:sz w:val="18"/>
      <w:szCs w:val="18"/>
    </w:rPr>
  </w:style>
  <w:style w:type="table" w:styleId="Tablaconcuadrcula">
    <w:name w:val="Table Grid"/>
    <w:basedOn w:val="Tablanormal"/>
    <w:rsid w:val="00FC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87015F"/>
    <w:rPr>
      <w:sz w:val="20"/>
      <w:szCs w:val="20"/>
    </w:rPr>
  </w:style>
  <w:style w:type="character" w:customStyle="1" w:styleId="TextonotaalfinalCar">
    <w:name w:val="Texto nota al final Car"/>
    <w:basedOn w:val="Fuentedeprrafopredeter"/>
    <w:link w:val="Textonotaalfinal"/>
    <w:rsid w:val="0087015F"/>
  </w:style>
  <w:style w:type="character" w:styleId="Refdenotaalfinal">
    <w:name w:val="endnote reference"/>
    <w:rsid w:val="00870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1120">
      <w:bodyDiv w:val="1"/>
      <w:marLeft w:val="150"/>
      <w:marRight w:val="1753"/>
      <w:marTop w:val="2717"/>
      <w:marBottom w:val="438"/>
      <w:divBdr>
        <w:top w:val="none" w:sz="0" w:space="0" w:color="auto"/>
        <w:left w:val="none" w:sz="0" w:space="0" w:color="auto"/>
        <w:bottom w:val="none" w:sz="0" w:space="0" w:color="auto"/>
        <w:right w:val="none" w:sz="0" w:space="0" w:color="auto"/>
      </w:divBdr>
    </w:div>
    <w:div w:id="166136454">
      <w:bodyDiv w:val="1"/>
      <w:marLeft w:val="150"/>
      <w:marRight w:val="1753"/>
      <w:marTop w:val="2717"/>
      <w:marBottom w:val="438"/>
      <w:divBdr>
        <w:top w:val="none" w:sz="0" w:space="0" w:color="auto"/>
        <w:left w:val="none" w:sz="0" w:space="0" w:color="auto"/>
        <w:bottom w:val="none" w:sz="0" w:space="0" w:color="auto"/>
        <w:right w:val="none" w:sz="0" w:space="0" w:color="auto"/>
      </w:divBdr>
    </w:div>
    <w:div w:id="214204034">
      <w:bodyDiv w:val="1"/>
      <w:marLeft w:val="0"/>
      <w:marRight w:val="0"/>
      <w:marTop w:val="0"/>
      <w:marBottom w:val="0"/>
      <w:divBdr>
        <w:top w:val="none" w:sz="0" w:space="0" w:color="auto"/>
        <w:left w:val="none" w:sz="0" w:space="0" w:color="auto"/>
        <w:bottom w:val="none" w:sz="0" w:space="0" w:color="auto"/>
        <w:right w:val="none" w:sz="0" w:space="0" w:color="auto"/>
      </w:divBdr>
      <w:divsChild>
        <w:div w:id="1084573868">
          <w:marLeft w:val="0"/>
          <w:marRight w:val="0"/>
          <w:marTop w:val="0"/>
          <w:marBottom w:val="0"/>
          <w:divBdr>
            <w:top w:val="none" w:sz="0" w:space="0" w:color="auto"/>
            <w:left w:val="none" w:sz="0" w:space="0" w:color="auto"/>
            <w:bottom w:val="none" w:sz="0" w:space="0" w:color="auto"/>
            <w:right w:val="none" w:sz="0" w:space="0" w:color="auto"/>
          </w:divBdr>
          <w:divsChild>
            <w:div w:id="782187419">
              <w:marLeft w:val="0"/>
              <w:marRight w:val="0"/>
              <w:marTop w:val="0"/>
              <w:marBottom w:val="0"/>
              <w:divBdr>
                <w:top w:val="none" w:sz="0" w:space="0" w:color="auto"/>
                <w:left w:val="none" w:sz="0" w:space="0" w:color="auto"/>
                <w:bottom w:val="none" w:sz="0" w:space="0" w:color="auto"/>
                <w:right w:val="none" w:sz="0" w:space="0" w:color="auto"/>
              </w:divBdr>
              <w:divsChild>
                <w:div w:id="31540243">
                  <w:marLeft w:val="0"/>
                  <w:marRight w:val="0"/>
                  <w:marTop w:val="0"/>
                  <w:marBottom w:val="0"/>
                  <w:divBdr>
                    <w:top w:val="none" w:sz="0" w:space="0" w:color="auto"/>
                    <w:left w:val="none" w:sz="0" w:space="0" w:color="auto"/>
                    <w:bottom w:val="none" w:sz="0" w:space="0" w:color="auto"/>
                    <w:right w:val="none" w:sz="0" w:space="0" w:color="auto"/>
                  </w:divBdr>
                  <w:divsChild>
                    <w:div w:id="1764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87031">
      <w:bodyDiv w:val="1"/>
      <w:marLeft w:val="163"/>
      <w:marRight w:val="1902"/>
      <w:marTop w:val="2948"/>
      <w:marBottom w:val="475"/>
      <w:divBdr>
        <w:top w:val="none" w:sz="0" w:space="0" w:color="auto"/>
        <w:left w:val="none" w:sz="0" w:space="0" w:color="auto"/>
        <w:bottom w:val="none" w:sz="0" w:space="0" w:color="auto"/>
        <w:right w:val="none" w:sz="0" w:space="0" w:color="auto"/>
      </w:divBdr>
    </w:div>
    <w:div w:id="508838445">
      <w:bodyDiv w:val="1"/>
      <w:marLeft w:val="150"/>
      <w:marRight w:val="1753"/>
      <w:marTop w:val="2717"/>
      <w:marBottom w:val="438"/>
      <w:divBdr>
        <w:top w:val="none" w:sz="0" w:space="0" w:color="auto"/>
        <w:left w:val="none" w:sz="0" w:space="0" w:color="auto"/>
        <w:bottom w:val="none" w:sz="0" w:space="0" w:color="auto"/>
        <w:right w:val="none" w:sz="0" w:space="0" w:color="auto"/>
      </w:divBdr>
    </w:div>
    <w:div w:id="829367264">
      <w:bodyDiv w:val="1"/>
      <w:marLeft w:val="150"/>
      <w:marRight w:val="1753"/>
      <w:marTop w:val="2717"/>
      <w:marBottom w:val="438"/>
      <w:divBdr>
        <w:top w:val="none" w:sz="0" w:space="0" w:color="auto"/>
        <w:left w:val="none" w:sz="0" w:space="0" w:color="auto"/>
        <w:bottom w:val="none" w:sz="0" w:space="0" w:color="auto"/>
        <w:right w:val="none" w:sz="0" w:space="0" w:color="auto"/>
      </w:divBdr>
    </w:div>
    <w:div w:id="1084914047">
      <w:bodyDiv w:val="1"/>
      <w:marLeft w:val="163"/>
      <w:marRight w:val="1902"/>
      <w:marTop w:val="2948"/>
      <w:marBottom w:val="475"/>
      <w:divBdr>
        <w:top w:val="none" w:sz="0" w:space="0" w:color="auto"/>
        <w:left w:val="none" w:sz="0" w:space="0" w:color="auto"/>
        <w:bottom w:val="none" w:sz="0" w:space="0" w:color="auto"/>
        <w:right w:val="none" w:sz="0" w:space="0" w:color="auto"/>
      </w:divBdr>
    </w:div>
    <w:div w:id="1507210796">
      <w:bodyDiv w:val="1"/>
      <w:marLeft w:val="163"/>
      <w:marRight w:val="1902"/>
      <w:marTop w:val="2948"/>
      <w:marBottom w:val="475"/>
      <w:divBdr>
        <w:top w:val="none" w:sz="0" w:space="0" w:color="auto"/>
        <w:left w:val="none" w:sz="0" w:space="0" w:color="auto"/>
        <w:bottom w:val="none" w:sz="0" w:space="0" w:color="auto"/>
        <w:right w:val="none" w:sz="0" w:space="0" w:color="auto"/>
      </w:divBdr>
    </w:div>
    <w:div w:id="1709865952">
      <w:bodyDiv w:val="1"/>
      <w:marLeft w:val="163"/>
      <w:marRight w:val="1902"/>
      <w:marTop w:val="2948"/>
      <w:marBottom w:val="475"/>
      <w:divBdr>
        <w:top w:val="none" w:sz="0" w:space="0" w:color="auto"/>
        <w:left w:val="none" w:sz="0" w:space="0" w:color="auto"/>
        <w:bottom w:val="none" w:sz="0" w:space="0" w:color="auto"/>
        <w:right w:val="none" w:sz="0" w:space="0" w:color="auto"/>
      </w:divBdr>
    </w:div>
    <w:div w:id="1735010991">
      <w:bodyDiv w:val="1"/>
      <w:marLeft w:val="150"/>
      <w:marRight w:val="1753"/>
      <w:marTop w:val="2717"/>
      <w:marBottom w:val="438"/>
      <w:divBdr>
        <w:top w:val="none" w:sz="0" w:space="0" w:color="auto"/>
        <w:left w:val="none" w:sz="0" w:space="0" w:color="auto"/>
        <w:bottom w:val="none" w:sz="0" w:space="0" w:color="auto"/>
        <w:right w:val="none" w:sz="0" w:space="0" w:color="auto"/>
      </w:divBdr>
    </w:div>
    <w:div w:id="1744597497">
      <w:bodyDiv w:val="1"/>
      <w:marLeft w:val="163"/>
      <w:marRight w:val="1902"/>
      <w:marTop w:val="2948"/>
      <w:marBottom w:val="475"/>
      <w:divBdr>
        <w:top w:val="none" w:sz="0" w:space="0" w:color="auto"/>
        <w:left w:val="none" w:sz="0" w:space="0" w:color="auto"/>
        <w:bottom w:val="none" w:sz="0" w:space="0" w:color="auto"/>
        <w:right w:val="none" w:sz="0" w:space="0" w:color="auto"/>
      </w:divBdr>
    </w:div>
    <w:div w:id="1752773668">
      <w:bodyDiv w:val="1"/>
      <w:marLeft w:val="163"/>
      <w:marRight w:val="1902"/>
      <w:marTop w:val="2948"/>
      <w:marBottom w:val="475"/>
      <w:divBdr>
        <w:top w:val="none" w:sz="0" w:space="0" w:color="auto"/>
        <w:left w:val="none" w:sz="0" w:space="0" w:color="auto"/>
        <w:bottom w:val="none" w:sz="0" w:space="0" w:color="auto"/>
        <w:right w:val="none" w:sz="0" w:space="0" w:color="auto"/>
      </w:divBdr>
    </w:div>
    <w:div w:id="1795784354">
      <w:bodyDiv w:val="1"/>
      <w:marLeft w:val="150"/>
      <w:marRight w:val="1753"/>
      <w:marTop w:val="2717"/>
      <w:marBottom w:val="438"/>
      <w:divBdr>
        <w:top w:val="none" w:sz="0" w:space="0" w:color="auto"/>
        <w:left w:val="none" w:sz="0" w:space="0" w:color="auto"/>
        <w:bottom w:val="none" w:sz="0" w:space="0" w:color="auto"/>
        <w:right w:val="none" w:sz="0" w:space="0" w:color="auto"/>
      </w:divBdr>
    </w:div>
    <w:div w:id="1821193654">
      <w:bodyDiv w:val="1"/>
      <w:marLeft w:val="150"/>
      <w:marRight w:val="1753"/>
      <w:marTop w:val="2717"/>
      <w:marBottom w:val="438"/>
      <w:divBdr>
        <w:top w:val="none" w:sz="0" w:space="0" w:color="auto"/>
        <w:left w:val="none" w:sz="0" w:space="0" w:color="auto"/>
        <w:bottom w:val="none" w:sz="0" w:space="0" w:color="auto"/>
        <w:right w:val="none" w:sz="0" w:space="0" w:color="auto"/>
      </w:divBdr>
    </w:div>
    <w:div w:id="1887330132">
      <w:bodyDiv w:val="1"/>
      <w:marLeft w:val="150"/>
      <w:marRight w:val="1753"/>
      <w:marTop w:val="2717"/>
      <w:marBottom w:val="438"/>
      <w:divBdr>
        <w:top w:val="none" w:sz="0" w:space="0" w:color="auto"/>
        <w:left w:val="none" w:sz="0" w:space="0" w:color="auto"/>
        <w:bottom w:val="none" w:sz="0" w:space="0" w:color="auto"/>
        <w:right w:val="none" w:sz="0" w:space="0" w:color="auto"/>
      </w:divBdr>
    </w:div>
    <w:div w:id="1926449785">
      <w:bodyDiv w:val="1"/>
      <w:marLeft w:val="163"/>
      <w:marRight w:val="1902"/>
      <w:marTop w:val="2948"/>
      <w:marBottom w:val="475"/>
      <w:divBdr>
        <w:top w:val="none" w:sz="0" w:space="0" w:color="auto"/>
        <w:left w:val="none" w:sz="0" w:space="0" w:color="auto"/>
        <w:bottom w:val="none" w:sz="0" w:space="0" w:color="auto"/>
        <w:right w:val="none" w:sz="0" w:space="0" w:color="auto"/>
      </w:divBdr>
    </w:div>
    <w:div w:id="2004312770">
      <w:bodyDiv w:val="1"/>
      <w:marLeft w:val="150"/>
      <w:marRight w:val="1753"/>
      <w:marTop w:val="2717"/>
      <w:marBottom w:val="438"/>
      <w:divBdr>
        <w:top w:val="none" w:sz="0" w:space="0" w:color="auto"/>
        <w:left w:val="none" w:sz="0" w:space="0" w:color="auto"/>
        <w:bottom w:val="none" w:sz="0" w:space="0" w:color="auto"/>
        <w:right w:val="none" w:sz="0" w:space="0" w:color="auto"/>
      </w:divBdr>
    </w:div>
    <w:div w:id="2130200890">
      <w:bodyDiv w:val="1"/>
      <w:marLeft w:val="150"/>
      <w:marRight w:val="1753"/>
      <w:marTop w:val="2717"/>
      <w:marBottom w:val="438"/>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oticias.juridicas.com/base_datos/Privado/cc.l4t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9340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11016</CharactersWithSpaces>
  <SharedDoc>false</SharedDoc>
  <HLinks>
    <vt:vector size="6" baseType="variant">
      <vt:variant>
        <vt:i4>4849709</vt:i4>
      </vt:variant>
      <vt:variant>
        <vt:i4>0</vt:i4>
      </vt:variant>
      <vt:variant>
        <vt:i4>0</vt:i4>
      </vt:variant>
      <vt:variant>
        <vt:i4>5</vt:i4>
      </vt:variant>
      <vt:variant>
        <vt:lpwstr>http://noticias.juridicas.com/base_datos/Privado/cc.l4t17.html</vt:lpwstr>
      </vt:variant>
      <vt:variant>
        <vt:lpwstr>a1923#a1923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cp:lastModifiedBy>Daniel Andreu</cp:lastModifiedBy>
  <cp:revision>2</cp:revision>
  <cp:lastPrinted>2017-04-17T09:50:00Z</cp:lastPrinted>
  <dcterms:created xsi:type="dcterms:W3CDTF">2019-05-29T10:19:00Z</dcterms:created>
  <dcterms:modified xsi:type="dcterms:W3CDTF">2019-05-29T10:19:00Z</dcterms:modified>
</cp:coreProperties>
</file>